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83289" w14:textId="77777777" w:rsidR="00F77625" w:rsidRPr="00B54D7C" w:rsidRDefault="00D77DFF" w:rsidP="001421C7">
      <w:pPr>
        <w:spacing w:before="4920"/>
        <w:jc w:val="center"/>
        <w:rPr>
          <w:sz w:val="64"/>
          <w:szCs w:val="64"/>
        </w:rPr>
      </w:pPr>
      <w:r w:rsidRPr="00B54D7C">
        <w:rPr>
          <w:sz w:val="64"/>
          <w:szCs w:val="64"/>
        </w:rPr>
        <w:t>Veřejná podpora</w:t>
      </w:r>
    </w:p>
    <w:p w14:paraId="77179E6A" w14:textId="77777777" w:rsidR="00F77625" w:rsidRPr="00DF163F" w:rsidRDefault="00D77DFF" w:rsidP="00462410">
      <w:pPr>
        <w:jc w:val="center"/>
        <w:rPr>
          <w:sz w:val="36"/>
          <w:szCs w:val="40"/>
        </w:rPr>
        <w:sectPr w:rsidR="00F77625" w:rsidRPr="00DF163F" w:rsidSect="00005C02">
          <w:headerReference w:type="default" r:id="rId8"/>
          <w:pgSz w:w="11906" w:h="16838"/>
          <w:pgMar w:top="1417" w:right="1417" w:bottom="1417" w:left="1417" w:header="708" w:footer="708" w:gutter="0"/>
          <w:cols w:space="708"/>
          <w:docGrid w:linePitch="360"/>
        </w:sectPr>
      </w:pPr>
      <w:r w:rsidRPr="00DF163F">
        <w:rPr>
          <w:sz w:val="36"/>
          <w:szCs w:val="40"/>
        </w:rPr>
        <w:t>Příloha ke směrnici MŽP</w:t>
      </w:r>
      <w:r w:rsidR="00816A3D" w:rsidRPr="00DF163F">
        <w:rPr>
          <w:sz w:val="36"/>
          <w:szCs w:val="40"/>
        </w:rPr>
        <w:t xml:space="preserve"> č. </w:t>
      </w:r>
      <w:r w:rsidR="00625F79">
        <w:rPr>
          <w:sz w:val="36"/>
          <w:szCs w:val="40"/>
        </w:rPr>
        <w:t>6</w:t>
      </w:r>
      <w:r w:rsidR="00816A3D" w:rsidRPr="00DF163F">
        <w:rPr>
          <w:sz w:val="36"/>
          <w:szCs w:val="40"/>
        </w:rPr>
        <w:t>/20</w:t>
      </w:r>
      <w:r w:rsidR="00301BBD">
        <w:rPr>
          <w:sz w:val="36"/>
          <w:szCs w:val="40"/>
        </w:rPr>
        <w:t>24</w:t>
      </w:r>
      <w:r w:rsidR="001421C7" w:rsidRPr="001421C7">
        <w:t xml:space="preserve"> </w:t>
      </w:r>
      <w:r w:rsidR="001421C7">
        <w:br/>
      </w:r>
      <w:r w:rsidR="001421C7" w:rsidRPr="001421C7">
        <w:rPr>
          <w:sz w:val="36"/>
          <w:szCs w:val="40"/>
        </w:rPr>
        <w:t xml:space="preserve">ve znění dodatku č. </w:t>
      </w:r>
      <w:r w:rsidR="00B70E93">
        <w:rPr>
          <w:sz w:val="36"/>
          <w:szCs w:val="40"/>
        </w:rPr>
        <w:t>1</w:t>
      </w:r>
    </w:p>
    <w:p w14:paraId="60253108" w14:textId="77777777" w:rsidR="00F77625" w:rsidRPr="00A81E6B" w:rsidRDefault="00D77DFF" w:rsidP="00462410">
      <w:pPr>
        <w:pStyle w:val="OM-nadpis1"/>
        <w:jc w:val="both"/>
      </w:pPr>
      <w:bookmarkStart w:id="0" w:name="_Hlk155680741"/>
      <w:r w:rsidRPr="00A81E6B">
        <w:lastRenderedPageBreak/>
        <w:t xml:space="preserve">Veřejná podpora </w:t>
      </w:r>
    </w:p>
    <w:p w14:paraId="0DD6E8BC" w14:textId="77777777" w:rsidR="00F77625" w:rsidRPr="00A81E6B" w:rsidRDefault="00D77DFF" w:rsidP="00462410">
      <w:pPr>
        <w:pStyle w:val="OM-nadpis2"/>
      </w:pPr>
      <w:bookmarkStart w:id="1" w:name="_Hlk155682439"/>
      <w:r w:rsidRPr="00A81E6B">
        <w:t>Právní rámec</w:t>
      </w:r>
    </w:p>
    <w:p w14:paraId="08AB2C32" w14:textId="77777777" w:rsidR="00F77625" w:rsidRPr="00F77625" w:rsidRDefault="00D77DFF" w:rsidP="00462410">
      <w:pPr>
        <w:jc w:val="both"/>
      </w:pPr>
      <w:r w:rsidRPr="00F77625">
        <w:t>Veřejná podpora je definována Smlouvou o fungování Evropské Unie v článku 107 jako</w:t>
      </w:r>
      <w:r w:rsidR="007D3F19">
        <w:t> </w:t>
      </w:r>
      <w:r w:rsidRPr="00F77625">
        <w:t>podpora splňující následující definiční znaky: jedná se o podporu z veřejných zdrojů, která je směřovaná podniku nebo skupině podniků a která má potenciál ovlivnit hospodářskou soutěž do té míry, že může být narušen obchod mezi členskými státy.</w:t>
      </w:r>
    </w:p>
    <w:p w14:paraId="29CB40F9" w14:textId="77777777" w:rsidR="00F77625" w:rsidRPr="00F77625" w:rsidRDefault="00D77DFF" w:rsidP="00462410">
      <w:pPr>
        <w:jc w:val="both"/>
      </w:pPr>
      <w:r w:rsidRPr="00F77625">
        <w:t>Jednotlivá kritéria výše uvedené definice lze blíže objasnit následujícím způsobem:</w:t>
      </w:r>
    </w:p>
    <w:p w14:paraId="75885CE2" w14:textId="77777777" w:rsidR="00F77625" w:rsidRPr="00F77625" w:rsidRDefault="00D77DFF" w:rsidP="00462410">
      <w:pPr>
        <w:numPr>
          <w:ilvl w:val="0"/>
          <w:numId w:val="1"/>
        </w:numPr>
        <w:jc w:val="both"/>
      </w:pPr>
      <w:r w:rsidRPr="00F77625">
        <w:t xml:space="preserve">pravidla veřejné podpory pokrývají pouze opatření, při kterých dojde k přesunu </w:t>
      </w:r>
      <w:r w:rsidRPr="00F77625">
        <w:rPr>
          <w:b/>
          <w:bCs/>
        </w:rPr>
        <w:t xml:space="preserve">státních (veřejných) prostředků </w:t>
      </w:r>
      <w:r w:rsidRPr="00F77625">
        <w:t xml:space="preserve">(může se jednat o prostředky národní, regionální, obecní, prostředky veřejných bank, nadací atd.). Veřejná podpora nemusí být poskytnuta přímo státem samotným. Může dojít k jejímu poskytnutí také ze strany soukromých či veřejných zprostředkovatelů určených státem, např. v případě, kdy je soukromá banka pověřená správou prostředků státního programu podpory. Přesun finančních prostředků představující poskytnutí veřejné podpory může mít také různé formy: dotace, slevy na dani, záruky za úvěr, odpuštění penále apod.; </w:t>
      </w:r>
    </w:p>
    <w:p w14:paraId="0B602E6F" w14:textId="77777777" w:rsidR="00F77625" w:rsidRPr="00F77625" w:rsidRDefault="00D77DFF" w:rsidP="00462410">
      <w:pPr>
        <w:numPr>
          <w:ilvl w:val="0"/>
          <w:numId w:val="1"/>
        </w:numPr>
        <w:jc w:val="both"/>
      </w:pPr>
      <w:r w:rsidRPr="00F77625">
        <w:t xml:space="preserve">ke </w:t>
      </w:r>
      <w:r w:rsidRPr="00F77625">
        <w:rPr>
          <w:b/>
          <w:bCs/>
        </w:rPr>
        <w:t xml:space="preserve">zvýhodnění určitého podniku </w:t>
      </w:r>
      <w:r w:rsidRPr="00F77625">
        <w:t xml:space="preserve">(odvětví výroby) dochází, když poskytnutím státních (veřejných) prostředků podnik (odvětví výroby) získá výhodu, </w:t>
      </w:r>
      <w:r w:rsidR="007D3F19">
        <w:br/>
      </w:r>
      <w:r w:rsidRPr="00F77625">
        <w:t>kterou by za</w:t>
      </w:r>
      <w:r w:rsidR="007D3F19">
        <w:t> </w:t>
      </w:r>
      <w:r w:rsidRPr="00F77625">
        <w:t>běžných tržních podmínek nezískal. Podnikem je ve smyslu pravidel veřejné podpory jakýkoliv subjekt, bez ohledu na právní formu, který na trhu nabízí zboží a/nebo služby. Pokud příjemce podpory získává výše zmíněné zvýhodnění na</w:t>
      </w:r>
      <w:r w:rsidR="007D3F19">
        <w:t> </w:t>
      </w:r>
      <w:r w:rsidRPr="00F77625">
        <w:t xml:space="preserve">úkor ostatních soutěžitelů, tzn. opatření je </w:t>
      </w:r>
      <w:r w:rsidRPr="00F77625">
        <w:rPr>
          <w:bCs/>
        </w:rPr>
        <w:t xml:space="preserve">selektivní </w:t>
      </w:r>
      <w:r w:rsidRPr="00F77625">
        <w:t>nikoli obecné (určené všem soutěžitelům bez rozdílu na daném trhu členského státu), je splněno jedno z kritérií definice poskytnutí veřejné podpory. Opatření je považováno za selektivní např. ve</w:t>
      </w:r>
      <w:r w:rsidR="007D3F19">
        <w:t> </w:t>
      </w:r>
      <w:r w:rsidRPr="00F77625">
        <w:t>chvíli, kdy poskytovatel veřejné podpory uplatňuje volné uvážení při výběru příjemce podpory nebo pokud je omezena platnost opatření pouze na část území členského státu či určité odvětví výroby;</w:t>
      </w:r>
    </w:p>
    <w:p w14:paraId="03E21432" w14:textId="77777777" w:rsidR="00F77625" w:rsidRPr="00F77625" w:rsidRDefault="00D77DFF" w:rsidP="00462410">
      <w:pPr>
        <w:numPr>
          <w:ilvl w:val="0"/>
          <w:numId w:val="1"/>
        </w:numPr>
        <w:jc w:val="both"/>
      </w:pPr>
      <w:r w:rsidRPr="00F77625">
        <w:t xml:space="preserve">k potenciálnímu </w:t>
      </w:r>
      <w:r w:rsidRPr="00F77625">
        <w:rPr>
          <w:b/>
          <w:bCs/>
        </w:rPr>
        <w:t>narušení soutěže</w:t>
      </w:r>
      <w:r w:rsidRPr="00F77625">
        <w:rPr>
          <w:bCs/>
        </w:rPr>
        <w:t xml:space="preserve"> a</w:t>
      </w:r>
    </w:p>
    <w:p w14:paraId="132D7AAA" w14:textId="77777777" w:rsidR="00F77625" w:rsidRPr="00F77625" w:rsidRDefault="00D77DFF" w:rsidP="00462410">
      <w:pPr>
        <w:numPr>
          <w:ilvl w:val="0"/>
          <w:numId w:val="1"/>
        </w:numPr>
        <w:jc w:val="both"/>
      </w:pPr>
      <w:r w:rsidRPr="00F77625">
        <w:rPr>
          <w:b/>
          <w:bCs/>
        </w:rPr>
        <w:t xml:space="preserve">ovlivnění obchodu mezi členskými státy </w:t>
      </w:r>
      <w:r w:rsidRPr="00F77625">
        <w:t>dochází již ve chvíli, kdy příjemce podpory vykonává ekonomické aktivity a účastní se trhu, na kterém probíhá obchod mezi členskými státy. Pravidla veřejné podpory jsou relevantní pro všechny žadatele a příjemce podpory bez ohledu na právní status v případě, že v souvislosti s projektem lze příjemce charakterizovat jako podnik (dochází nebo bude docházet k nabídce zboží nebo služeb na trhu). Podle této definice může být podnikem i obec, nezisková organizace nebo spolek a další subjekty.</w:t>
      </w:r>
    </w:p>
    <w:p w14:paraId="52C77D96" w14:textId="77777777" w:rsidR="00F77625" w:rsidRPr="00816A3D" w:rsidRDefault="00D77DFF" w:rsidP="00462410">
      <w:pPr>
        <w:jc w:val="both"/>
        <w:rPr>
          <w:bCs/>
        </w:rPr>
      </w:pPr>
      <w:r w:rsidRPr="00F77625">
        <w:rPr>
          <w:b/>
        </w:rPr>
        <w:t>O veřejnou podporu se jedná pouze tehdy, pokud jsou naplněny všechny 4 znaky uvedené pod písmeny a) až d).</w:t>
      </w:r>
      <w:r w:rsidR="006B6815">
        <w:rPr>
          <w:b/>
        </w:rPr>
        <w:t xml:space="preserve"> </w:t>
      </w:r>
    </w:p>
    <w:p w14:paraId="4A29B550" w14:textId="77777777" w:rsidR="00F77625" w:rsidRPr="00F77625" w:rsidRDefault="00D77DFF" w:rsidP="00462410">
      <w:pPr>
        <w:jc w:val="both"/>
      </w:pPr>
      <w:r w:rsidRPr="00F77625">
        <w:t>Obecně je taková podpora zakázaná, ale z tohoto zákazu existují výjimky ve formě sekundárních předpisů uvedených níže. V rámci těchto výjimek je možné poskytovat podpory projektům, které přispívají k naplňování cílů EU a kde je dopad na trh vyvážen pozitivním přínosem. Sekundární předpisy definují jak podmínky a cíle, tak formy podpory, kterými se členské státy řídí při přípravě a provádění programů podpor nebo při udělování jednotlivých podpor projektům.</w:t>
      </w:r>
    </w:p>
    <w:p w14:paraId="3D1DA564" w14:textId="77777777" w:rsidR="00F77625" w:rsidRDefault="00D77DFF" w:rsidP="00462410">
      <w:pPr>
        <w:jc w:val="both"/>
      </w:pPr>
      <w:r w:rsidRPr="00F77625">
        <w:lastRenderedPageBreak/>
        <w:t>V rámci Národního programu Životní prostředí (dále jen NPŽP) bude podpora poskytována z veřejných zdrojů a naplnění všech ostatních znaků veřejné podpory je variabilní v závislosti na charakteru projektu a jeho výstupech a výsledcích.</w:t>
      </w:r>
    </w:p>
    <w:p w14:paraId="355EB350" w14:textId="77777777" w:rsidR="006B6815" w:rsidRPr="00DF163F" w:rsidRDefault="00D77DFF" w:rsidP="00462410">
      <w:pPr>
        <w:jc w:val="both"/>
        <w:rPr>
          <w:bCs/>
        </w:rPr>
      </w:pPr>
      <w:r w:rsidRPr="00C719B3">
        <w:rPr>
          <w:bCs/>
        </w:rPr>
        <w:t>Posouzení naplnění výše uvedených znaků provádí poskytovatel v rámci nastavení programu a je promítnuto do výzev tak, že je předem stanoveno, které projekty budou financovány v režimu veřejné podpory.</w:t>
      </w:r>
    </w:p>
    <w:bookmarkEnd w:id="0"/>
    <w:bookmarkEnd w:id="1"/>
    <w:p w14:paraId="0D11D091" w14:textId="77777777" w:rsidR="00DC0355" w:rsidRPr="00A81E6B" w:rsidRDefault="00D77DFF" w:rsidP="00462410">
      <w:pPr>
        <w:pStyle w:val="OM-nadpis2"/>
      </w:pPr>
      <w:r w:rsidRPr="00A81E6B">
        <w:t>Sekundární předpisy</w:t>
      </w:r>
    </w:p>
    <w:p w14:paraId="7F7B0F9B" w14:textId="77777777" w:rsidR="00DC0355" w:rsidRPr="00DC0355" w:rsidRDefault="00D77DFF" w:rsidP="00462410">
      <w:pPr>
        <w:jc w:val="both"/>
      </w:pPr>
      <w:r w:rsidRPr="00DC0355">
        <w:t>Pro NPŽP je poskytována veřejná podpora podle následujících kategorií veřejných podpor (plné znění předpisů je uvedeno na</w:t>
      </w:r>
      <w:r w:rsidRPr="00DC0355">
        <w:rPr>
          <w:u w:val="single"/>
        </w:rPr>
        <w:t xml:space="preserve"> https://www.uohs.</w:t>
      </w:r>
      <w:r w:rsidR="003A51B3">
        <w:rPr>
          <w:u w:val="single"/>
        </w:rPr>
        <w:t>gov.</w:t>
      </w:r>
      <w:r w:rsidRPr="00DC0355">
        <w:rPr>
          <w:u w:val="single"/>
        </w:rPr>
        <w:t>cz/cs/uvodni-stranka.html</w:t>
      </w:r>
      <w:r w:rsidRPr="00DC0355">
        <w:t>):</w:t>
      </w:r>
    </w:p>
    <w:p w14:paraId="2F12B1B5" w14:textId="77777777" w:rsidR="00DC0355" w:rsidRPr="00DC0355" w:rsidRDefault="00D77DFF" w:rsidP="00462410">
      <w:pPr>
        <w:numPr>
          <w:ilvl w:val="0"/>
          <w:numId w:val="5"/>
        </w:numPr>
        <w:jc w:val="both"/>
      </w:pPr>
      <w:r w:rsidRPr="00597027">
        <w:rPr>
          <w:b/>
        </w:rPr>
        <w:t>Blokové výjimky</w:t>
      </w:r>
      <w:r w:rsidRPr="00DC0355">
        <w:t xml:space="preserve"> </w:t>
      </w:r>
      <w:r w:rsidR="00875005" w:rsidRPr="00DC0355">
        <w:fldChar w:fldCharType="begin"/>
      </w:r>
      <w:r w:rsidR="00875005" w:rsidRPr="00DC0355">
        <w:instrText xml:space="preserve"> REF _Ref428368923 \r \h  \* MERGEFORMAT </w:instrText>
      </w:r>
      <w:r w:rsidR="00875005" w:rsidRPr="00DC0355">
        <w:fldChar w:fldCharType="separate"/>
      </w:r>
      <w:r w:rsidR="00875005" w:rsidRPr="00DC0355">
        <w:t>A.2.1.1</w:t>
      </w:r>
      <w:r w:rsidR="00875005" w:rsidRPr="00DC0355">
        <w:fldChar w:fldCharType="end"/>
      </w:r>
      <w:r w:rsidR="00875005">
        <w:t xml:space="preserve"> </w:t>
      </w:r>
      <w:r w:rsidRPr="00DC0355">
        <w:t>– Nařízení Komise (EU) č. 651/2014 ze dne 17. června 2014, kterým se v souladu s články 107 a 108 Smlouvy o fungování Evropské unie prohlašují určité kategorie podpory za slučitelné s vnitřním trhem tzv. obecné nařízení o blokových výjimkách – GBER – pouze vybrané relevantní články (dále jen</w:t>
      </w:r>
      <w:r w:rsidR="00514CBB">
        <w:t> </w:t>
      </w:r>
      <w:r w:rsidRPr="00DC0355">
        <w:t>„Nařízení GBER“).</w:t>
      </w:r>
      <w:r w:rsidR="00875005" w:rsidRPr="00875005">
        <w:t xml:space="preserve"> </w:t>
      </w:r>
    </w:p>
    <w:p w14:paraId="7B384517" w14:textId="77777777" w:rsidR="00DC0355" w:rsidRPr="00DC0355" w:rsidRDefault="00D77DFF" w:rsidP="00462410">
      <w:pPr>
        <w:numPr>
          <w:ilvl w:val="0"/>
          <w:numId w:val="5"/>
        </w:numPr>
        <w:jc w:val="both"/>
      </w:pPr>
      <w:r w:rsidRPr="00DC0355">
        <w:t xml:space="preserve">Nařízení Komise (EU) 2022/2472 ze dne 14. prosince 2022, kterým v souladu </w:t>
      </w:r>
      <w:r w:rsidR="00FB7E33">
        <w:br/>
      </w:r>
      <w:r w:rsidRPr="00DC0355">
        <w:t>s články 107 a 108 Smlouvy o fungování Evropské unie prohlašují určité kategorie podpory v odvětví zemědělství a lesnictví a ve venkovských oblastech za slučitelné s vnitřním trhem (ABER)</w:t>
      </w:r>
      <w:r w:rsidR="00875005">
        <w:t xml:space="preserve"> </w:t>
      </w:r>
    </w:p>
    <w:p w14:paraId="38BF897A" w14:textId="77777777" w:rsidR="00DC0355" w:rsidRPr="00DC0355" w:rsidRDefault="00D77DFF" w:rsidP="00462410">
      <w:pPr>
        <w:numPr>
          <w:ilvl w:val="0"/>
          <w:numId w:val="5"/>
        </w:numPr>
        <w:jc w:val="both"/>
      </w:pPr>
      <w:r w:rsidRPr="00597027">
        <w:rPr>
          <w:b/>
        </w:rPr>
        <w:t xml:space="preserve">Podpora de minimis </w:t>
      </w:r>
      <w:r w:rsidR="00875005" w:rsidRPr="00DC0355">
        <w:fldChar w:fldCharType="begin"/>
      </w:r>
      <w:r w:rsidR="00875005" w:rsidRPr="00DC0355">
        <w:instrText xml:space="preserve"> REF _Ref428368948 \r \h  \* MERGEFORMAT </w:instrText>
      </w:r>
      <w:r w:rsidR="00875005" w:rsidRPr="00DC0355">
        <w:fldChar w:fldCharType="separate"/>
      </w:r>
      <w:r w:rsidR="00875005" w:rsidRPr="00DC0355">
        <w:t>A.2.1.4</w:t>
      </w:r>
      <w:r w:rsidR="00875005" w:rsidRPr="00DC0355">
        <w:fldChar w:fldCharType="end"/>
      </w:r>
      <w:r w:rsidR="00875005">
        <w:t xml:space="preserve"> </w:t>
      </w:r>
      <w:r w:rsidRPr="00DC0355">
        <w:t xml:space="preserve">– </w:t>
      </w:r>
      <w:r w:rsidR="00812852" w:rsidRPr="00812852">
        <w:t>Nařízení Komise (EU) 2023/2831 ze dne 13.</w:t>
      </w:r>
      <w:r w:rsidR="00CE630D">
        <w:t> </w:t>
      </w:r>
      <w:r w:rsidR="00812852" w:rsidRPr="00812852">
        <w:t>prosince 2023 o použití článků 107 a 108 Smlouvy o fungování Evropské unie na podporu de minimis</w:t>
      </w:r>
      <w:r w:rsidR="0040196C">
        <w:t xml:space="preserve"> (dále jen „podpora de minimis“)</w:t>
      </w:r>
      <w:r w:rsidR="006B58C4">
        <w:t>.</w:t>
      </w:r>
    </w:p>
    <w:p w14:paraId="2709EC8E" w14:textId="77777777" w:rsidR="00DC0355" w:rsidRPr="00DC0355" w:rsidRDefault="00D77DFF" w:rsidP="00462410">
      <w:pPr>
        <w:numPr>
          <w:ilvl w:val="0"/>
          <w:numId w:val="5"/>
        </w:numPr>
        <w:jc w:val="both"/>
      </w:pPr>
      <w:r w:rsidRPr="00DC0355">
        <w:t>Nařízení Komise (EU) č. 1408/2013 ze dne 18. prosince 2013 o použití článků 107 a 108 Smlouvy o fungování Evropské unie na podporu de minimis v odvětví zemědělství, ve znění pozdějších předpisů.</w:t>
      </w:r>
    </w:p>
    <w:p w14:paraId="42C4D841" w14:textId="77777777" w:rsidR="00DC0355" w:rsidRPr="00DC0355" w:rsidRDefault="00D77DFF" w:rsidP="00462410">
      <w:pPr>
        <w:numPr>
          <w:ilvl w:val="0"/>
          <w:numId w:val="5"/>
        </w:numPr>
        <w:jc w:val="both"/>
      </w:pPr>
      <w:r w:rsidRPr="00DC0355">
        <w:t>Nařízení Komise (EU) č. 717/2014 ze dne 27. června 2014 o použití článků 107 a</w:t>
      </w:r>
      <w:r w:rsidR="00CE630D">
        <w:t> </w:t>
      </w:r>
      <w:r w:rsidRPr="00DC0355">
        <w:t xml:space="preserve">108 Smlouvy o fungování Evropské unie na podporu de minimis v odvětví rybolovu a akvakultury, ve znění pozdějších předpisů. </w:t>
      </w:r>
    </w:p>
    <w:p w14:paraId="14A91932" w14:textId="77777777" w:rsidR="00DC0355" w:rsidRPr="00DC0355" w:rsidRDefault="00D77DFF" w:rsidP="00462410">
      <w:pPr>
        <w:numPr>
          <w:ilvl w:val="0"/>
          <w:numId w:val="5"/>
        </w:numPr>
        <w:jc w:val="both"/>
      </w:pPr>
      <w:r w:rsidRPr="00597027">
        <w:rPr>
          <w:b/>
        </w:rPr>
        <w:t>Služby obecného hospodářského zájmu</w:t>
      </w:r>
      <w:r w:rsidRPr="00DC0355">
        <w:t xml:space="preserve"> </w:t>
      </w:r>
      <w:r w:rsidR="00875005" w:rsidRPr="00DC0355">
        <w:fldChar w:fldCharType="begin"/>
      </w:r>
      <w:r w:rsidR="00875005" w:rsidRPr="00DC0355">
        <w:instrText xml:space="preserve"> REF _Ref428368971 \r \h  \* MERGEFORMAT </w:instrText>
      </w:r>
      <w:r w:rsidR="00875005" w:rsidRPr="00DC0355">
        <w:fldChar w:fldCharType="separate"/>
      </w:r>
      <w:r w:rsidR="00875005" w:rsidRPr="00DC0355">
        <w:t>A.2.1.5</w:t>
      </w:r>
      <w:r w:rsidR="00875005" w:rsidRPr="00DC0355">
        <w:fldChar w:fldCharType="end"/>
      </w:r>
      <w:r w:rsidR="00875005">
        <w:t xml:space="preserve"> </w:t>
      </w:r>
      <w:r w:rsidRPr="00DC0355">
        <w:t xml:space="preserve">– </w:t>
      </w:r>
      <w:r w:rsidR="003A3F24">
        <w:t>b</w:t>
      </w:r>
      <w:r w:rsidRPr="00DC0355">
        <w:t xml:space="preserve">alíček </w:t>
      </w:r>
      <w:r w:rsidR="003A3F24">
        <w:t>p</w:t>
      </w:r>
      <w:r w:rsidRPr="00DC0355">
        <w:t xml:space="preserve">ředpisů </w:t>
      </w:r>
      <w:r w:rsidR="00FB7E33">
        <w:br/>
      </w:r>
      <w:r w:rsidRPr="00DC0355">
        <w:t>pro poskytování podpor v režimu závazku veřejné služby (dále jen SGEI).</w:t>
      </w:r>
    </w:p>
    <w:p w14:paraId="36385600" w14:textId="77777777" w:rsidR="00DC0355" w:rsidRPr="00DC0355" w:rsidRDefault="00D77DFF" w:rsidP="00462410">
      <w:pPr>
        <w:jc w:val="both"/>
      </w:pPr>
      <w:r w:rsidRPr="00DC0355">
        <w:t>Žadatel o podporu v podkladové dokumentaci k žádosti specifikuje charakter projektu (především s ohledem na podmínky jednotlivých potenciálně vhodných režimů pro</w:t>
      </w:r>
      <w:r w:rsidR="007D3F19">
        <w:t> </w:t>
      </w:r>
      <w:r w:rsidRPr="00DC0355">
        <w:t>poskytnutí veřejné podpory podle technického charakteru projektu, nebo podle následného využívání výstupů projektu) a jeho dopad na tržní prostředí. Na základě těchto informací, případně po konzultaci s poskytovatelem dotace, provede žadatel zařazení projektu pod</w:t>
      </w:r>
      <w:r w:rsidR="007D3F19">
        <w:t> </w:t>
      </w:r>
      <w:r w:rsidRPr="00DC0355">
        <w:t xml:space="preserve">pravidla veřejné podpory nebo mimo její rámec. </w:t>
      </w:r>
    </w:p>
    <w:p w14:paraId="2A4818BD" w14:textId="77777777" w:rsidR="00DC0355" w:rsidRDefault="00D77DFF" w:rsidP="00462410">
      <w:pPr>
        <w:jc w:val="both"/>
      </w:pPr>
      <w:r w:rsidRPr="00DC0355">
        <w:t>Poskytovatel podpory může po konzultaci se žadatelem změnit kategorii veřejné podpory v závislosti na parametrech projektu.</w:t>
      </w:r>
    </w:p>
    <w:p w14:paraId="2AE9E33A" w14:textId="77777777" w:rsidR="00701902" w:rsidRPr="00A81E6B" w:rsidRDefault="00D77DFF" w:rsidP="00462410">
      <w:pPr>
        <w:pStyle w:val="OM-nadpis3"/>
        <w:rPr>
          <w:sz w:val="20"/>
        </w:rPr>
      </w:pPr>
      <w:bookmarkStart w:id="2" w:name="_Toc404260713"/>
      <w:r w:rsidRPr="00A81E6B">
        <w:t>Specifika a náležitosti jednotlivých kategorií veřejn</w:t>
      </w:r>
      <w:r w:rsidR="00A81E6B" w:rsidRPr="00A81E6B">
        <w:t>é</w:t>
      </w:r>
      <w:r w:rsidRPr="00A81E6B">
        <w:t xml:space="preserve"> podpor</w:t>
      </w:r>
      <w:bookmarkEnd w:id="2"/>
      <w:r w:rsidR="00A81E6B" w:rsidRPr="00A81E6B">
        <w:t>y</w:t>
      </w:r>
    </w:p>
    <w:p w14:paraId="69BEF65E" w14:textId="77777777" w:rsidR="00701902" w:rsidRPr="00701902" w:rsidRDefault="00D77DFF" w:rsidP="00462410">
      <w:pPr>
        <w:pStyle w:val="OM-nadpis4"/>
      </w:pPr>
      <w:bookmarkStart w:id="3" w:name="_Ref428368923"/>
      <w:r w:rsidRPr="00701902">
        <w:t>Blokové výjimky</w:t>
      </w:r>
      <w:bookmarkEnd w:id="3"/>
      <w:r w:rsidRPr="00701902">
        <w:t xml:space="preserve"> GBER a ABER</w:t>
      </w:r>
    </w:p>
    <w:p w14:paraId="5DFE6D3B" w14:textId="77777777" w:rsidR="00701902" w:rsidRPr="00701902" w:rsidRDefault="00D77DFF" w:rsidP="00462410">
      <w:pPr>
        <w:jc w:val="both"/>
      </w:pPr>
      <w:r w:rsidRPr="00701902">
        <w:t xml:space="preserve">Podpora podle GBER a ABER nemůže být poskytnuta žadateli, jemuž byl vydán inkasní příkaz k navrácení neoprávněné neslučitelné veřejné podpory, který dosud nebyl splacen. U této podmínky se žadatel (podnik) chápe jako skupina propojených a partnerských </w:t>
      </w:r>
      <w:r w:rsidRPr="00701902">
        <w:lastRenderedPageBreak/>
        <w:t>podniků dle přílohy I nařízení Komise (EU) č. 651/2014 ze dne 17. června 2014, včetně jeho vazeb na zahraniční subjekty.</w:t>
      </w:r>
    </w:p>
    <w:p w14:paraId="04B15EA8" w14:textId="77777777" w:rsidR="00701902" w:rsidRPr="00701902" w:rsidRDefault="00D77DFF" w:rsidP="00462410">
      <w:pPr>
        <w:jc w:val="both"/>
      </w:pPr>
      <w:r w:rsidRPr="00701902">
        <w:t>Podpora dle GBER a ABER, nemůže být poskytnuta podniku v obtížích dle článku 2 bodu 18 nařízení GBER.</w:t>
      </w:r>
    </w:p>
    <w:p w14:paraId="23890DED" w14:textId="77777777" w:rsidR="00701902" w:rsidRPr="00701902" w:rsidRDefault="00D77DFF" w:rsidP="00462410">
      <w:pPr>
        <w:jc w:val="both"/>
      </w:pPr>
      <w:r w:rsidRPr="00701902">
        <w:t>Podpora musí mít motivační účinek, který je splněn v případě, že žádost o podporu byla</w:t>
      </w:r>
      <w:r w:rsidR="00514CBB">
        <w:t> </w:t>
      </w:r>
      <w:r w:rsidRPr="00701902">
        <w:t>podána před zahájením prací na projektu. Zahájením prací se rozumí buď zahájení stavebních prací v rámci investice, nebo první právně vymahatelný závazek objednat zařízení či jiný závazek, v jehož důsledku se investice stává nezvratnou, podle toho, která</w:t>
      </w:r>
      <w:r w:rsidR="00514CBB">
        <w:t> </w:t>
      </w:r>
      <w:r w:rsidRPr="00701902">
        <w:t>událost nastane dříve. Za zahájení není považováno zpracování předběžných studií proveditelnosti, nákup pozemků nebo získání povolení. Za krok, kdy je investice učiněna nezvratnou, je považován den, kdy dojde k odeslání rozhodnutí o výběru nejvhodnější nabídky v zadávacím/výběrovém řízení.</w:t>
      </w:r>
    </w:p>
    <w:p w14:paraId="5BE80E18" w14:textId="77777777" w:rsidR="00701902" w:rsidRPr="00701902" w:rsidRDefault="00D77DFF" w:rsidP="00462410">
      <w:pPr>
        <w:jc w:val="both"/>
      </w:pPr>
      <w:r w:rsidRPr="00701902">
        <w:t>Motivační účinek je vyžadován pro téměř všechny články GBER</w:t>
      </w:r>
      <w:r w:rsidR="006B6815">
        <w:t xml:space="preserve"> (kromě článku</w:t>
      </w:r>
      <w:r w:rsidR="00E95483">
        <w:t xml:space="preserve"> 45 a</w:t>
      </w:r>
      <w:r w:rsidR="006B6815">
        <w:t xml:space="preserve"> 53)</w:t>
      </w:r>
      <w:r w:rsidRPr="00701902">
        <w:t xml:space="preserve"> a</w:t>
      </w:r>
      <w:r w:rsidR="00CE630D">
        <w:t> </w:t>
      </w:r>
      <w:r w:rsidRPr="00701902">
        <w:t xml:space="preserve">ABER, od tohoto data také vznikají způsobilé výdaje. </w:t>
      </w:r>
    </w:p>
    <w:p w14:paraId="7071961E" w14:textId="77777777" w:rsidR="00701902" w:rsidRPr="00701902" w:rsidRDefault="00D77DFF" w:rsidP="00462410">
      <w:pPr>
        <w:jc w:val="both"/>
      </w:pPr>
      <w:r w:rsidRPr="00701902">
        <w:t>Podpory mohou být dle nařízení GBER poskytovány pouze v limitované výši, pro jednotlivé projekty v rámci nařízení GBER proto platí individuální notifikační prahy, jež se liší podle kategorie podpory a do jejichž výše lze podporu poskytnout bez předchozího projednání s</w:t>
      </w:r>
      <w:r w:rsidR="007D3F19">
        <w:t> </w:t>
      </w:r>
      <w:r w:rsidRPr="00701902">
        <w:t>EK. Při jejich překročení by byla nutná notifikace. Prahové hodnoty se nesmí obcházet tím, že se projekty rozdělí. Podpory poskytované podle nařízení GBER a ABER nesmí být v</w:t>
      </w:r>
      <w:r w:rsidR="007D3F19">
        <w:t> </w:t>
      </w:r>
      <w:r w:rsidRPr="00701902">
        <w:t xml:space="preserve">rámci </w:t>
      </w:r>
      <w:r w:rsidR="00FF536B">
        <w:t>N</w:t>
      </w:r>
      <w:r w:rsidR="00FF536B" w:rsidRPr="00701902">
        <w:t xml:space="preserve">PŽP </w:t>
      </w:r>
      <w:r w:rsidRPr="00701902">
        <w:t>kumulovány s jinou veřejnou podporu, pokud by taková kumulace vedla k</w:t>
      </w:r>
      <w:r w:rsidR="007D3F19">
        <w:t> </w:t>
      </w:r>
      <w:r w:rsidRPr="00701902">
        <w:t>překročení maximální povolené intenzity podpor dané jednotlivými články.</w:t>
      </w:r>
    </w:p>
    <w:p w14:paraId="5098F036" w14:textId="77777777" w:rsidR="00701902" w:rsidRPr="00701902" w:rsidRDefault="00D77DFF" w:rsidP="00462410">
      <w:pPr>
        <w:jc w:val="both"/>
      </w:pPr>
      <w:r w:rsidRPr="00701902">
        <w:t>Žadatelům z řad malých a středních podniků může být v některých případech přiznán bonus ve výši 10 % pro střední a 20 % pro malý podnik (nebo 20 a 30 % pro článek 36</w:t>
      </w:r>
      <w:r w:rsidR="006B6815">
        <w:t xml:space="preserve"> a) a</w:t>
      </w:r>
      <w:r w:rsidRPr="00701902">
        <w:t xml:space="preserve"> b). V tomto případě musí být velikost podniku posouzena v souladu s přílohou I nařízení GBER. </w:t>
      </w:r>
    </w:p>
    <w:p w14:paraId="16443670" w14:textId="77777777" w:rsidR="00701902" w:rsidRPr="00701902" w:rsidRDefault="00D77DFF" w:rsidP="00462410">
      <w:pPr>
        <w:jc w:val="both"/>
      </w:pPr>
      <w:r w:rsidRPr="00701902">
        <w:t>Informace o poskytnutých veřejných podporách přesahujících částku 100 000 EUR (GBER) (</w:t>
      </w:r>
      <w:r w:rsidR="006B6815">
        <w:t xml:space="preserve">nebo </w:t>
      </w:r>
      <w:r w:rsidRPr="00701902">
        <w:t xml:space="preserve">10 000 EUR (ABER), budou zveřejněny i v informačním systému TAM (Transparency </w:t>
      </w:r>
      <w:r w:rsidR="00462410">
        <w:t>A</w:t>
      </w:r>
      <w:r w:rsidRPr="00701902">
        <w:t xml:space="preserve">ward </w:t>
      </w:r>
      <w:r w:rsidR="00462410">
        <w:t>M</w:t>
      </w:r>
      <w:r w:rsidRPr="00701902">
        <w:t>odule).</w:t>
      </w:r>
    </w:p>
    <w:p w14:paraId="51E932F7" w14:textId="77777777" w:rsidR="00701902" w:rsidRPr="00701902" w:rsidRDefault="00D77DFF" w:rsidP="00462410">
      <w:pPr>
        <w:pStyle w:val="OM-nadpis4"/>
      </w:pPr>
      <w:r w:rsidRPr="00701902">
        <w:t>Oblasti (tzv. kategorie) podpory Nařízení GBER</w:t>
      </w:r>
    </w:p>
    <w:p w14:paraId="7A55041F" w14:textId="77777777" w:rsidR="00701902" w:rsidRPr="00701902" w:rsidRDefault="00D77DFF" w:rsidP="00462410">
      <w:pPr>
        <w:pStyle w:val="OM-nadpis5"/>
      </w:pPr>
      <w:r w:rsidRPr="00701902">
        <w:t>Regionální investiční podpora (článek 14)</w:t>
      </w:r>
    </w:p>
    <w:p w14:paraId="2A8C03A9" w14:textId="77777777" w:rsidR="00701902" w:rsidRPr="00701902" w:rsidRDefault="00D77DFF" w:rsidP="00462410">
      <w:pPr>
        <w:jc w:val="both"/>
      </w:pPr>
      <w:r w:rsidRPr="00701902">
        <w:t>Zvláštní podmínky pro poskytnutí regionální investiční podpory</w:t>
      </w:r>
    </w:p>
    <w:p w14:paraId="58754189" w14:textId="77777777" w:rsidR="00701902" w:rsidRPr="00701902" w:rsidRDefault="00D77DFF" w:rsidP="00462410">
      <w:pPr>
        <w:numPr>
          <w:ilvl w:val="0"/>
          <w:numId w:val="6"/>
        </w:numPr>
        <w:jc w:val="both"/>
      </w:pPr>
      <w:r w:rsidRPr="00701902">
        <w:t xml:space="preserve">Způsobilými příjemci jsou podniky všech velikostí </w:t>
      </w:r>
    </w:p>
    <w:p w14:paraId="25600820" w14:textId="77777777" w:rsidR="00701902" w:rsidRPr="00701902" w:rsidRDefault="00D77DFF" w:rsidP="00462410">
      <w:pPr>
        <w:numPr>
          <w:ilvl w:val="0"/>
          <w:numId w:val="6"/>
        </w:numPr>
        <w:jc w:val="both"/>
      </w:pPr>
      <w:bookmarkStart w:id="4" w:name="_Hlk155685566"/>
      <w:r w:rsidRPr="00701902">
        <w:t>Podpora bude poskytována podle regionální mapy pro období 2022+</w:t>
      </w:r>
      <w:r w:rsidR="00070F10">
        <w:t xml:space="preserve"> </w:t>
      </w:r>
      <w:bookmarkEnd w:id="4"/>
      <w:r w:rsidRPr="00701902">
        <w:t>a do výše maxima stanoveného výzvou</w:t>
      </w:r>
    </w:p>
    <w:p w14:paraId="702487EB" w14:textId="77777777" w:rsidR="00701902" w:rsidRPr="00701902" w:rsidRDefault="00D77DFF" w:rsidP="00462410">
      <w:pPr>
        <w:numPr>
          <w:ilvl w:val="0"/>
          <w:numId w:val="6"/>
        </w:numPr>
        <w:jc w:val="both"/>
      </w:pPr>
      <w:r w:rsidRPr="00701902">
        <w:t>Podporu nelze poskytnout na činnosti v odvětví zemědělské prvovýroby a</w:t>
      </w:r>
      <w:r w:rsidR="00CE630D">
        <w:t> </w:t>
      </w:r>
      <w:r w:rsidRPr="00701902">
        <w:t>akvakultury</w:t>
      </w:r>
    </w:p>
    <w:p w14:paraId="447F2979" w14:textId="77777777" w:rsidR="00701902" w:rsidRPr="00701902" w:rsidRDefault="00D77DFF" w:rsidP="00462410">
      <w:pPr>
        <w:numPr>
          <w:ilvl w:val="0"/>
          <w:numId w:val="6"/>
        </w:numPr>
        <w:jc w:val="both"/>
      </w:pPr>
      <w:r w:rsidRPr="00701902">
        <w:t>Podporu dále nelze poskytnout do vyloučených odvětví</w:t>
      </w:r>
      <w:r>
        <w:rPr>
          <w:vertAlign w:val="superscript"/>
        </w:rPr>
        <w:footnoteReference w:id="1"/>
      </w:r>
    </w:p>
    <w:p w14:paraId="5D66DE66" w14:textId="77777777" w:rsidR="00701902" w:rsidRPr="00701902" w:rsidRDefault="00D77DFF" w:rsidP="00462410">
      <w:pPr>
        <w:numPr>
          <w:ilvl w:val="0"/>
          <w:numId w:val="6"/>
        </w:numPr>
        <w:jc w:val="both"/>
      </w:pPr>
      <w:r w:rsidRPr="00701902">
        <w:lastRenderedPageBreak/>
        <w:t>Velké podniky v regionech typu c) (viz níže tabulka regionální mapy) mohou regionální investiční podporu čerpat pouze na „nové činnosti“ přičemž stejnou nebo podobnou činností“ se rozumí činnosti zařazené do stejné třídy (čtyřmístný číselný kód) statistické klasifikace ekonomických činností NACE Revize 2,</w:t>
      </w:r>
    </w:p>
    <w:p w14:paraId="4E6EC7EB" w14:textId="77777777" w:rsidR="00701902" w:rsidRPr="00701902" w:rsidRDefault="00D77DFF" w:rsidP="00462410">
      <w:pPr>
        <w:numPr>
          <w:ilvl w:val="0"/>
          <w:numId w:val="6"/>
        </w:numPr>
        <w:jc w:val="both"/>
      </w:pPr>
      <w:r w:rsidRPr="00701902">
        <w:t>Žadatel jako součást žádosti předloží ČP k regionální podpoře a k inkasnímu příkazu</w:t>
      </w:r>
    </w:p>
    <w:p w14:paraId="0AF86C8C" w14:textId="77777777" w:rsidR="00701902" w:rsidRPr="00701902" w:rsidRDefault="00D77DFF" w:rsidP="00462410">
      <w:pPr>
        <w:jc w:val="both"/>
      </w:pPr>
      <w:r w:rsidRPr="00701902">
        <w:t>Podporu lze poskytnout na jeden z následujících typů prvoinvestice:</w:t>
      </w:r>
    </w:p>
    <w:p w14:paraId="7768F918" w14:textId="77777777" w:rsidR="00701902" w:rsidRPr="00701902" w:rsidRDefault="00D77DFF" w:rsidP="00462410">
      <w:pPr>
        <w:numPr>
          <w:ilvl w:val="0"/>
          <w:numId w:val="6"/>
        </w:numPr>
        <w:jc w:val="both"/>
      </w:pPr>
      <w:r w:rsidRPr="00701902">
        <w:t>založení nové provozovny,</w:t>
      </w:r>
    </w:p>
    <w:p w14:paraId="1128FD71" w14:textId="77777777" w:rsidR="00701902" w:rsidRPr="00701902" w:rsidRDefault="00D77DFF" w:rsidP="00462410">
      <w:pPr>
        <w:numPr>
          <w:ilvl w:val="0"/>
          <w:numId w:val="6"/>
        </w:numPr>
        <w:jc w:val="both"/>
      </w:pPr>
      <w:r w:rsidRPr="00701902">
        <w:t>rozšíření kapacity stávající provozovny,</w:t>
      </w:r>
    </w:p>
    <w:p w14:paraId="6C8F84EE" w14:textId="77777777" w:rsidR="004729DC" w:rsidRPr="00701902" w:rsidRDefault="00D77DFF" w:rsidP="00462410">
      <w:pPr>
        <w:numPr>
          <w:ilvl w:val="0"/>
          <w:numId w:val="6"/>
        </w:numPr>
        <w:jc w:val="both"/>
      </w:pPr>
      <w:r w:rsidRPr="00701902">
        <w:t>rozšíření výrobního sortimentu provozovny o výrobky nebo služby, které nebyly dříve v této provozovně vyráběny nebo poskytovány, nebo</w:t>
      </w:r>
    </w:p>
    <w:p w14:paraId="58EB9718" w14:textId="77777777" w:rsidR="00016615" w:rsidRPr="00701902" w:rsidRDefault="00D77DFF" w:rsidP="00462410">
      <w:pPr>
        <w:numPr>
          <w:ilvl w:val="0"/>
          <w:numId w:val="6"/>
        </w:numPr>
        <w:jc w:val="both"/>
      </w:pPr>
      <w:r w:rsidRPr="00701902">
        <w:t>rozšíření škály činností provozovny za předpokladu, že se u nové činnosti nejedná o stejnou nebo podobnou činnost, jaká byla v dané provozovně vykonávána dříve</w:t>
      </w:r>
      <w:r w:rsidR="004729DC">
        <w:t>,</w:t>
      </w:r>
    </w:p>
    <w:p w14:paraId="61105EA4" w14:textId="77777777" w:rsidR="004729DC" w:rsidRPr="00701902" w:rsidRDefault="00D77DFF" w:rsidP="00462410">
      <w:pPr>
        <w:numPr>
          <w:ilvl w:val="0"/>
          <w:numId w:val="6"/>
        </w:numPr>
        <w:jc w:val="both"/>
      </w:pPr>
      <w:r w:rsidRPr="00701902">
        <w:t>zásadní změna celkového výrobního postupu výrobku (výrobků) nebo celkového poskytování služby (služeb), kterých se investice do provozovny týká;</w:t>
      </w:r>
    </w:p>
    <w:p w14:paraId="4C0B9B22" w14:textId="77777777" w:rsidR="004729DC" w:rsidRPr="00701902" w:rsidRDefault="00D77DFF" w:rsidP="00462410">
      <w:pPr>
        <w:jc w:val="both"/>
      </w:pPr>
      <w:r>
        <w:t>Zvláštním typem je p</w:t>
      </w:r>
      <w:r w:rsidRPr="00701902">
        <w:t>rvoinvestice</w:t>
      </w:r>
      <w:r>
        <w:t>,</w:t>
      </w:r>
      <w:r w:rsidRPr="00701902">
        <w:t xml:space="preserve"> která představuje „nové činnosti“ – relevantní pro velké podniky v regionech c)</w:t>
      </w:r>
      <w:r>
        <w:t>.</w:t>
      </w:r>
    </w:p>
    <w:p w14:paraId="744B5438" w14:textId="77777777" w:rsidR="004729DC" w:rsidRPr="00701902" w:rsidRDefault="00D77DFF" w:rsidP="00462410">
      <w:pPr>
        <w:jc w:val="both"/>
      </w:pPr>
      <w:r w:rsidRPr="00701902">
        <w:t>Náhradní investice nepředstavuje prvoinvestici.</w:t>
      </w:r>
    </w:p>
    <w:p w14:paraId="08EAE5A1" w14:textId="77777777" w:rsidR="001C018A" w:rsidRPr="00701902" w:rsidRDefault="00D77DFF" w:rsidP="00462410">
      <w:pPr>
        <w:jc w:val="both"/>
      </w:pPr>
      <w:r w:rsidRPr="00701902">
        <w:t>Prvoinvestice, spočívající v založení nové provozovny a v navýšení kapacity stávající provozovny není vázána dodatečnými podmínkami.</w:t>
      </w:r>
    </w:p>
    <w:p w14:paraId="3677F993" w14:textId="77777777" w:rsidR="00701902" w:rsidRPr="00701902" w:rsidRDefault="00D77DFF" w:rsidP="00462410">
      <w:pPr>
        <w:jc w:val="both"/>
      </w:pPr>
      <w:r w:rsidRPr="00701902">
        <w:t>Prvoinvestice spočívající v rozšíření výrobního sortimentu provozovny, je způsobilá k podpoře, pokud je splněno, že způsobilé náklady jsou o nejméně 200 % vyšší než účetní hodnota znovu použitého majetku, která je zachycena v účetním období předcházejícím zahájení prací. Platí pro podniky všech velikostí.</w:t>
      </w:r>
    </w:p>
    <w:p w14:paraId="33AE5D10" w14:textId="77777777" w:rsidR="00627FDB" w:rsidRDefault="00D77DFF" w:rsidP="00462410">
      <w:pPr>
        <w:jc w:val="both"/>
      </w:pPr>
      <w:r w:rsidRPr="00701902">
        <w:t>Prvoinvestice, spočívající v zásadní změně výrobního postupu provozovny musí být způsobilé náklady vyšší než odpisy provedené za předcházející tři účetní období z majetku užívaného při činnosti, jež má být modernizována. Platí pouze pro velké podniky.</w:t>
      </w:r>
    </w:p>
    <w:p w14:paraId="4334EE6D" w14:textId="77777777" w:rsidR="001C018A" w:rsidRDefault="00D77DFF" w:rsidP="00462410">
      <w:pPr>
        <w:jc w:val="both"/>
      </w:pPr>
      <w:r>
        <w:t>Poskytování r</w:t>
      </w:r>
      <w:r w:rsidR="00016615">
        <w:t>egionální investiční podpor</w:t>
      </w:r>
      <w:r>
        <w:t>y</w:t>
      </w:r>
      <w:r w:rsidR="00016615">
        <w:t xml:space="preserve"> </w:t>
      </w:r>
      <w:r>
        <w:t>se řídí</w:t>
      </w:r>
      <w:r w:rsidR="00016615">
        <w:t xml:space="preserve"> podle v aktuálním období platné m</w:t>
      </w:r>
      <w:r>
        <w:t>ap</w:t>
      </w:r>
      <w:r w:rsidR="00016615">
        <w:t>y</w:t>
      </w:r>
      <w:r>
        <w:t xml:space="preserve"> regionální podpory pro ČR</w:t>
      </w:r>
      <w:r w:rsidR="00016615">
        <w:t xml:space="preserve">, která </w:t>
      </w:r>
      <w:r>
        <w:t>je znázorněna v tabulce níže</w:t>
      </w:r>
      <w:r w:rsidR="00810690">
        <w:t>:</w:t>
      </w:r>
    </w:p>
    <w:p w14:paraId="60ABAD9A" w14:textId="77777777" w:rsidR="001C018A" w:rsidRDefault="00D77DFF" w:rsidP="00462410">
      <w:pPr>
        <w:jc w:val="both"/>
      </w:pPr>
      <w:r>
        <w:br w:type="page"/>
      </w:r>
    </w:p>
    <w:tbl>
      <w:tblPr>
        <w:tblW w:w="9317" w:type="dxa"/>
        <w:tblCellMar>
          <w:left w:w="70" w:type="dxa"/>
          <w:right w:w="70" w:type="dxa"/>
        </w:tblCellMar>
        <w:tblLook w:val="04A0" w:firstRow="1" w:lastRow="0" w:firstColumn="1" w:lastColumn="0" w:noHBand="0" w:noVBand="1"/>
      </w:tblPr>
      <w:tblGrid>
        <w:gridCol w:w="797"/>
        <w:gridCol w:w="1040"/>
        <w:gridCol w:w="1773"/>
        <w:gridCol w:w="1129"/>
        <w:gridCol w:w="1129"/>
        <w:gridCol w:w="1131"/>
        <w:gridCol w:w="1159"/>
        <w:gridCol w:w="1159"/>
      </w:tblGrid>
      <w:tr w:rsidR="0046600D" w14:paraId="084837E6" w14:textId="77777777" w:rsidTr="00527158">
        <w:trPr>
          <w:trHeight w:val="320"/>
        </w:trPr>
        <w:tc>
          <w:tcPr>
            <w:tcW w:w="9317" w:type="dxa"/>
            <w:gridSpan w:val="8"/>
            <w:tcBorders>
              <w:top w:val="nil"/>
              <w:left w:val="nil"/>
              <w:bottom w:val="nil"/>
              <w:right w:val="nil"/>
            </w:tcBorders>
            <w:shd w:val="clear" w:color="auto" w:fill="auto"/>
            <w:noWrap/>
            <w:vAlign w:val="bottom"/>
            <w:hideMark/>
          </w:tcPr>
          <w:p w14:paraId="352FDD44" w14:textId="77777777" w:rsidR="00627FDB" w:rsidRPr="00EF768C" w:rsidRDefault="00D77DFF" w:rsidP="00462410">
            <w:pPr>
              <w:spacing w:before="120" w:after="120"/>
              <w:jc w:val="both"/>
              <w:rPr>
                <w:b/>
                <w:sz w:val="18"/>
                <w:szCs w:val="18"/>
                <w:u w:val="single"/>
              </w:rPr>
            </w:pPr>
            <w:r w:rsidRPr="00EF768C">
              <w:rPr>
                <w:b/>
                <w:sz w:val="18"/>
                <w:szCs w:val="18"/>
                <w:u w:val="single"/>
              </w:rPr>
              <w:lastRenderedPageBreak/>
              <w:t>Míra podpory dle mapy regionální podpory pro ČR na léta 2022–2027 (SA.</w:t>
            </w:r>
            <w:r w:rsidR="001158EE">
              <w:rPr>
                <w:b/>
                <w:sz w:val="18"/>
                <w:szCs w:val="18"/>
                <w:u w:val="single"/>
              </w:rPr>
              <w:t>104844</w:t>
            </w:r>
            <w:r w:rsidRPr="00EF768C">
              <w:rPr>
                <w:b/>
                <w:sz w:val="18"/>
                <w:szCs w:val="18"/>
                <w:u w:val="single"/>
              </w:rPr>
              <w:t>)</w:t>
            </w:r>
          </w:p>
        </w:tc>
      </w:tr>
      <w:tr w:rsidR="0046600D" w14:paraId="2D70F7A0" w14:textId="77777777" w:rsidTr="00527158">
        <w:trPr>
          <w:trHeight w:val="144"/>
        </w:trPr>
        <w:tc>
          <w:tcPr>
            <w:tcW w:w="797" w:type="dxa"/>
            <w:tcBorders>
              <w:top w:val="nil"/>
              <w:left w:val="nil"/>
              <w:bottom w:val="nil"/>
              <w:right w:val="nil"/>
            </w:tcBorders>
            <w:shd w:val="clear" w:color="auto" w:fill="auto"/>
            <w:noWrap/>
            <w:vAlign w:val="bottom"/>
            <w:hideMark/>
          </w:tcPr>
          <w:p w14:paraId="55951CE3" w14:textId="77777777" w:rsidR="00527158" w:rsidRPr="00EF768C" w:rsidRDefault="00527158" w:rsidP="00462410">
            <w:pPr>
              <w:jc w:val="both"/>
              <w:rPr>
                <w:sz w:val="18"/>
                <w:szCs w:val="18"/>
              </w:rPr>
            </w:pPr>
          </w:p>
        </w:tc>
        <w:tc>
          <w:tcPr>
            <w:tcW w:w="1040" w:type="dxa"/>
            <w:tcBorders>
              <w:top w:val="nil"/>
              <w:left w:val="nil"/>
              <w:bottom w:val="nil"/>
              <w:right w:val="nil"/>
            </w:tcBorders>
            <w:shd w:val="clear" w:color="auto" w:fill="auto"/>
            <w:noWrap/>
            <w:vAlign w:val="bottom"/>
            <w:hideMark/>
          </w:tcPr>
          <w:p w14:paraId="5482225B" w14:textId="77777777" w:rsidR="00527158" w:rsidRPr="00EF768C" w:rsidRDefault="00527158" w:rsidP="00462410">
            <w:pPr>
              <w:jc w:val="both"/>
              <w:rPr>
                <w:sz w:val="18"/>
                <w:szCs w:val="18"/>
              </w:rPr>
            </w:pPr>
          </w:p>
        </w:tc>
        <w:tc>
          <w:tcPr>
            <w:tcW w:w="1773" w:type="dxa"/>
            <w:tcBorders>
              <w:top w:val="nil"/>
              <w:left w:val="nil"/>
              <w:bottom w:val="nil"/>
              <w:right w:val="nil"/>
            </w:tcBorders>
            <w:shd w:val="clear" w:color="auto" w:fill="auto"/>
            <w:noWrap/>
            <w:vAlign w:val="bottom"/>
            <w:hideMark/>
          </w:tcPr>
          <w:p w14:paraId="1F6CDA7F" w14:textId="77777777" w:rsidR="00527158" w:rsidRPr="00EF768C" w:rsidRDefault="00527158" w:rsidP="00462410">
            <w:pPr>
              <w:jc w:val="both"/>
              <w:rPr>
                <w:sz w:val="18"/>
                <w:szCs w:val="18"/>
                <w:u w:val="single"/>
              </w:rPr>
            </w:pPr>
          </w:p>
        </w:tc>
        <w:tc>
          <w:tcPr>
            <w:tcW w:w="1129" w:type="dxa"/>
            <w:tcBorders>
              <w:top w:val="nil"/>
              <w:left w:val="nil"/>
              <w:bottom w:val="nil"/>
              <w:right w:val="nil"/>
            </w:tcBorders>
            <w:shd w:val="clear" w:color="auto" w:fill="auto"/>
            <w:noWrap/>
            <w:vAlign w:val="bottom"/>
            <w:hideMark/>
          </w:tcPr>
          <w:p w14:paraId="2E070105" w14:textId="77777777" w:rsidR="00527158" w:rsidRPr="00EF768C" w:rsidRDefault="00527158" w:rsidP="00462410">
            <w:pPr>
              <w:jc w:val="both"/>
              <w:rPr>
                <w:sz w:val="18"/>
                <w:szCs w:val="18"/>
                <w:u w:val="single"/>
              </w:rPr>
            </w:pPr>
          </w:p>
        </w:tc>
        <w:tc>
          <w:tcPr>
            <w:tcW w:w="1129" w:type="dxa"/>
            <w:tcBorders>
              <w:top w:val="nil"/>
              <w:left w:val="nil"/>
              <w:bottom w:val="nil"/>
              <w:right w:val="nil"/>
            </w:tcBorders>
            <w:shd w:val="clear" w:color="auto" w:fill="auto"/>
            <w:noWrap/>
            <w:vAlign w:val="bottom"/>
            <w:hideMark/>
          </w:tcPr>
          <w:p w14:paraId="5DBEF036" w14:textId="77777777" w:rsidR="00527158" w:rsidRPr="00EF768C" w:rsidRDefault="00527158" w:rsidP="00462410">
            <w:pPr>
              <w:jc w:val="both"/>
              <w:rPr>
                <w:sz w:val="18"/>
                <w:szCs w:val="18"/>
                <w:u w:val="single"/>
              </w:rPr>
            </w:pPr>
          </w:p>
        </w:tc>
        <w:tc>
          <w:tcPr>
            <w:tcW w:w="1131" w:type="dxa"/>
            <w:tcBorders>
              <w:top w:val="nil"/>
              <w:left w:val="nil"/>
              <w:bottom w:val="nil"/>
              <w:right w:val="nil"/>
            </w:tcBorders>
            <w:shd w:val="clear" w:color="auto" w:fill="auto"/>
            <w:noWrap/>
            <w:vAlign w:val="bottom"/>
            <w:hideMark/>
          </w:tcPr>
          <w:p w14:paraId="011227D4" w14:textId="77777777" w:rsidR="00527158" w:rsidRPr="00EF768C" w:rsidRDefault="00527158" w:rsidP="00462410">
            <w:pPr>
              <w:jc w:val="both"/>
              <w:rPr>
                <w:sz w:val="18"/>
                <w:szCs w:val="18"/>
              </w:rPr>
            </w:pPr>
          </w:p>
        </w:tc>
        <w:tc>
          <w:tcPr>
            <w:tcW w:w="1159" w:type="dxa"/>
            <w:tcBorders>
              <w:top w:val="nil"/>
              <w:left w:val="nil"/>
              <w:bottom w:val="nil"/>
              <w:right w:val="nil"/>
            </w:tcBorders>
            <w:shd w:val="clear" w:color="auto" w:fill="auto"/>
            <w:noWrap/>
            <w:vAlign w:val="bottom"/>
            <w:hideMark/>
          </w:tcPr>
          <w:p w14:paraId="308EAC2F" w14:textId="77777777" w:rsidR="00527158" w:rsidRPr="00EF768C" w:rsidRDefault="00527158" w:rsidP="00462410">
            <w:pPr>
              <w:jc w:val="both"/>
              <w:rPr>
                <w:sz w:val="18"/>
                <w:szCs w:val="18"/>
              </w:rPr>
            </w:pPr>
          </w:p>
        </w:tc>
        <w:tc>
          <w:tcPr>
            <w:tcW w:w="1159" w:type="dxa"/>
            <w:tcBorders>
              <w:top w:val="nil"/>
              <w:left w:val="nil"/>
              <w:bottom w:val="nil"/>
              <w:right w:val="nil"/>
            </w:tcBorders>
            <w:shd w:val="clear" w:color="auto" w:fill="auto"/>
            <w:noWrap/>
            <w:vAlign w:val="bottom"/>
            <w:hideMark/>
          </w:tcPr>
          <w:p w14:paraId="6C705B71" w14:textId="77777777" w:rsidR="00527158" w:rsidRPr="00EF768C" w:rsidRDefault="00527158" w:rsidP="00462410">
            <w:pPr>
              <w:jc w:val="both"/>
              <w:rPr>
                <w:sz w:val="18"/>
                <w:szCs w:val="18"/>
              </w:rPr>
            </w:pPr>
          </w:p>
        </w:tc>
      </w:tr>
      <w:tr w:rsidR="0046600D" w14:paraId="0ADB3B0B" w14:textId="77777777" w:rsidTr="00527158">
        <w:trPr>
          <w:trHeight w:val="865"/>
        </w:trPr>
        <w:tc>
          <w:tcPr>
            <w:tcW w:w="797"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1D870D7" w14:textId="77777777" w:rsidR="00527158" w:rsidRPr="00EF768C" w:rsidRDefault="00D77DFF" w:rsidP="00462410">
            <w:pPr>
              <w:jc w:val="both"/>
              <w:rPr>
                <w:b/>
                <w:sz w:val="18"/>
                <w:szCs w:val="18"/>
              </w:rPr>
            </w:pPr>
            <w:r w:rsidRPr="00EF768C">
              <w:rPr>
                <w:b/>
                <w:sz w:val="18"/>
                <w:szCs w:val="18"/>
              </w:rPr>
              <w:t>Kód</w:t>
            </w:r>
          </w:p>
        </w:tc>
        <w:tc>
          <w:tcPr>
            <w:tcW w:w="1040" w:type="dxa"/>
            <w:tcBorders>
              <w:top w:val="single" w:sz="4" w:space="0" w:color="auto"/>
              <w:left w:val="nil"/>
              <w:bottom w:val="single" w:sz="4" w:space="0" w:color="auto"/>
              <w:right w:val="single" w:sz="4" w:space="0" w:color="auto"/>
            </w:tcBorders>
            <w:shd w:val="clear" w:color="000000" w:fill="808080"/>
            <w:noWrap/>
            <w:vAlign w:val="center"/>
            <w:hideMark/>
          </w:tcPr>
          <w:p w14:paraId="476DDF64" w14:textId="77777777" w:rsidR="00527158" w:rsidRPr="00EF768C" w:rsidRDefault="00D77DFF" w:rsidP="00462410">
            <w:pPr>
              <w:jc w:val="both"/>
              <w:rPr>
                <w:b/>
                <w:sz w:val="18"/>
                <w:szCs w:val="18"/>
              </w:rPr>
            </w:pPr>
            <w:r w:rsidRPr="00EF768C">
              <w:rPr>
                <w:b/>
                <w:sz w:val="18"/>
                <w:szCs w:val="18"/>
              </w:rPr>
              <w:t>okres</w:t>
            </w:r>
          </w:p>
        </w:tc>
        <w:tc>
          <w:tcPr>
            <w:tcW w:w="1773" w:type="dxa"/>
            <w:tcBorders>
              <w:top w:val="single" w:sz="4" w:space="0" w:color="auto"/>
              <w:left w:val="nil"/>
              <w:bottom w:val="single" w:sz="4" w:space="0" w:color="auto"/>
              <w:right w:val="single" w:sz="4" w:space="0" w:color="auto"/>
            </w:tcBorders>
            <w:shd w:val="clear" w:color="000000" w:fill="808080"/>
            <w:noWrap/>
            <w:vAlign w:val="center"/>
            <w:hideMark/>
          </w:tcPr>
          <w:p w14:paraId="5D1FDFC2" w14:textId="77777777" w:rsidR="00527158" w:rsidRPr="00EF768C" w:rsidRDefault="00D77DFF" w:rsidP="00462410">
            <w:pPr>
              <w:jc w:val="both"/>
              <w:rPr>
                <w:b/>
                <w:sz w:val="18"/>
                <w:szCs w:val="18"/>
              </w:rPr>
            </w:pPr>
            <w:r w:rsidRPr="00EF768C">
              <w:rPr>
                <w:b/>
                <w:sz w:val="18"/>
                <w:szCs w:val="18"/>
              </w:rPr>
              <w:t>region</w:t>
            </w:r>
          </w:p>
        </w:tc>
        <w:tc>
          <w:tcPr>
            <w:tcW w:w="1129" w:type="dxa"/>
            <w:tcBorders>
              <w:top w:val="single" w:sz="4" w:space="0" w:color="auto"/>
              <w:left w:val="nil"/>
              <w:bottom w:val="single" w:sz="4" w:space="0" w:color="auto"/>
              <w:right w:val="single" w:sz="4" w:space="0" w:color="auto"/>
            </w:tcBorders>
            <w:shd w:val="clear" w:color="000000" w:fill="808080"/>
            <w:vAlign w:val="center"/>
            <w:hideMark/>
          </w:tcPr>
          <w:p w14:paraId="2AD80CEA" w14:textId="77777777" w:rsidR="00527158" w:rsidRPr="00EF768C" w:rsidRDefault="00D77DFF" w:rsidP="00462410">
            <w:pPr>
              <w:jc w:val="both"/>
              <w:rPr>
                <w:b/>
                <w:sz w:val="18"/>
                <w:szCs w:val="18"/>
              </w:rPr>
            </w:pPr>
            <w:r w:rsidRPr="00EF768C">
              <w:rPr>
                <w:b/>
                <w:sz w:val="18"/>
                <w:szCs w:val="18"/>
              </w:rPr>
              <w:t>podpora do 2021</w:t>
            </w:r>
            <w:r w:rsidRPr="00EF768C">
              <w:rPr>
                <w:b/>
                <w:sz w:val="18"/>
                <w:szCs w:val="18"/>
              </w:rPr>
              <w:br/>
              <w:t>%</w:t>
            </w:r>
          </w:p>
        </w:tc>
        <w:tc>
          <w:tcPr>
            <w:tcW w:w="1129" w:type="dxa"/>
            <w:tcBorders>
              <w:top w:val="single" w:sz="4" w:space="0" w:color="auto"/>
              <w:left w:val="nil"/>
              <w:bottom w:val="single" w:sz="4" w:space="0" w:color="auto"/>
              <w:right w:val="single" w:sz="4" w:space="0" w:color="auto"/>
            </w:tcBorders>
            <w:shd w:val="clear" w:color="000000" w:fill="808080"/>
            <w:vAlign w:val="center"/>
            <w:hideMark/>
          </w:tcPr>
          <w:p w14:paraId="3D743504" w14:textId="77777777" w:rsidR="00527158" w:rsidRPr="00EF768C" w:rsidRDefault="00D77DFF" w:rsidP="00462410">
            <w:pPr>
              <w:jc w:val="both"/>
              <w:rPr>
                <w:b/>
                <w:sz w:val="18"/>
                <w:szCs w:val="18"/>
              </w:rPr>
            </w:pPr>
            <w:r w:rsidRPr="00EF768C">
              <w:rPr>
                <w:b/>
                <w:sz w:val="18"/>
                <w:szCs w:val="18"/>
              </w:rPr>
              <w:t>podpora 2022-2024</w:t>
            </w:r>
            <w:r w:rsidRPr="00EF768C">
              <w:rPr>
                <w:b/>
                <w:sz w:val="18"/>
                <w:szCs w:val="18"/>
              </w:rPr>
              <w:br/>
              <w:t>%</w:t>
            </w:r>
          </w:p>
        </w:tc>
        <w:tc>
          <w:tcPr>
            <w:tcW w:w="1131" w:type="dxa"/>
            <w:tcBorders>
              <w:top w:val="single" w:sz="4" w:space="0" w:color="auto"/>
              <w:left w:val="nil"/>
              <w:bottom w:val="single" w:sz="4" w:space="0" w:color="auto"/>
              <w:right w:val="nil"/>
            </w:tcBorders>
            <w:shd w:val="clear" w:color="000000" w:fill="808080"/>
            <w:vAlign w:val="center"/>
            <w:hideMark/>
          </w:tcPr>
          <w:p w14:paraId="2E22A349" w14:textId="77777777" w:rsidR="00527158" w:rsidRPr="00EF768C" w:rsidRDefault="00D77DFF" w:rsidP="00462410">
            <w:pPr>
              <w:jc w:val="both"/>
              <w:rPr>
                <w:b/>
                <w:sz w:val="18"/>
                <w:szCs w:val="18"/>
              </w:rPr>
            </w:pPr>
            <w:r w:rsidRPr="00EF768C">
              <w:rPr>
                <w:b/>
                <w:sz w:val="18"/>
                <w:szCs w:val="18"/>
              </w:rPr>
              <w:t>podpora 2025-2027</w:t>
            </w:r>
            <w:r w:rsidRPr="00EF768C">
              <w:rPr>
                <w:b/>
                <w:sz w:val="18"/>
                <w:szCs w:val="18"/>
              </w:rPr>
              <w:br/>
              <w:t>%</w:t>
            </w:r>
          </w:p>
        </w:tc>
        <w:tc>
          <w:tcPr>
            <w:tcW w:w="1159" w:type="dxa"/>
            <w:tcBorders>
              <w:top w:val="single" w:sz="4" w:space="0" w:color="auto"/>
              <w:left w:val="double" w:sz="6" w:space="0" w:color="auto"/>
              <w:bottom w:val="single" w:sz="4" w:space="0" w:color="auto"/>
              <w:right w:val="single" w:sz="4" w:space="0" w:color="auto"/>
            </w:tcBorders>
            <w:shd w:val="clear" w:color="000000" w:fill="BFBFBF"/>
            <w:vAlign w:val="center"/>
            <w:hideMark/>
          </w:tcPr>
          <w:p w14:paraId="01DEF047" w14:textId="77777777" w:rsidR="00527158" w:rsidRPr="00EF768C" w:rsidRDefault="00D77DFF" w:rsidP="00462410">
            <w:pPr>
              <w:jc w:val="both"/>
              <w:rPr>
                <w:b/>
                <w:sz w:val="18"/>
                <w:szCs w:val="18"/>
              </w:rPr>
            </w:pPr>
            <w:r w:rsidRPr="00EF768C">
              <w:rPr>
                <w:b/>
                <w:bCs/>
                <w:sz w:val="18"/>
                <w:szCs w:val="18"/>
              </w:rPr>
              <w:t xml:space="preserve">bonus </w:t>
            </w:r>
            <w:r w:rsidRPr="00EF768C">
              <w:rPr>
                <w:b/>
                <w:bCs/>
                <w:sz w:val="18"/>
                <w:szCs w:val="18"/>
              </w:rPr>
              <w:br/>
            </w:r>
            <w:r w:rsidRPr="00EF768C">
              <w:rPr>
                <w:b/>
                <w:sz w:val="18"/>
                <w:szCs w:val="18"/>
              </w:rPr>
              <w:t>pro malé podniky</w:t>
            </w:r>
            <w:r w:rsidR="00DB6C33" w:rsidRPr="00EF768C">
              <w:rPr>
                <w:b/>
                <w:sz w:val="18"/>
                <w:szCs w:val="18"/>
              </w:rPr>
              <w:t xml:space="preserve"> </w:t>
            </w:r>
            <w:r w:rsidRPr="00EF768C">
              <w:rPr>
                <w:b/>
                <w:sz w:val="18"/>
                <w:szCs w:val="18"/>
              </w:rPr>
              <w:t>%</w:t>
            </w:r>
          </w:p>
        </w:tc>
        <w:tc>
          <w:tcPr>
            <w:tcW w:w="1159" w:type="dxa"/>
            <w:tcBorders>
              <w:top w:val="single" w:sz="4" w:space="0" w:color="auto"/>
              <w:left w:val="nil"/>
              <w:bottom w:val="single" w:sz="4" w:space="0" w:color="auto"/>
              <w:right w:val="single" w:sz="4" w:space="0" w:color="auto"/>
            </w:tcBorders>
            <w:shd w:val="clear" w:color="000000" w:fill="BFBFBF"/>
            <w:vAlign w:val="center"/>
            <w:hideMark/>
          </w:tcPr>
          <w:p w14:paraId="60B49594" w14:textId="77777777" w:rsidR="00527158" w:rsidRPr="00EF768C" w:rsidRDefault="00D77DFF" w:rsidP="00462410">
            <w:pPr>
              <w:jc w:val="both"/>
              <w:rPr>
                <w:b/>
                <w:sz w:val="18"/>
                <w:szCs w:val="18"/>
              </w:rPr>
            </w:pPr>
            <w:r w:rsidRPr="00EF768C">
              <w:rPr>
                <w:b/>
                <w:bCs/>
                <w:sz w:val="18"/>
                <w:szCs w:val="18"/>
              </w:rPr>
              <w:t xml:space="preserve">bonus </w:t>
            </w:r>
            <w:r w:rsidRPr="00EF768C">
              <w:rPr>
                <w:b/>
                <w:bCs/>
                <w:sz w:val="18"/>
                <w:szCs w:val="18"/>
              </w:rPr>
              <w:br/>
            </w:r>
            <w:r w:rsidRPr="00EF768C">
              <w:rPr>
                <w:b/>
                <w:sz w:val="18"/>
                <w:szCs w:val="18"/>
              </w:rPr>
              <w:t>pro střední podniky %</w:t>
            </w:r>
          </w:p>
        </w:tc>
      </w:tr>
      <w:tr w:rsidR="0046600D" w14:paraId="463043E4" w14:textId="77777777" w:rsidTr="00527158">
        <w:trPr>
          <w:trHeight w:val="32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774CB2C" w14:textId="77777777" w:rsidR="00527158" w:rsidRPr="00EF768C" w:rsidRDefault="00D77DFF" w:rsidP="00462410">
            <w:pPr>
              <w:jc w:val="both"/>
              <w:rPr>
                <w:sz w:val="18"/>
                <w:szCs w:val="18"/>
              </w:rPr>
            </w:pPr>
            <w:r w:rsidRPr="00EF768C">
              <w:rPr>
                <w:sz w:val="18"/>
                <w:szCs w:val="18"/>
              </w:rPr>
              <w:t>NUTS 01</w:t>
            </w:r>
          </w:p>
        </w:tc>
        <w:tc>
          <w:tcPr>
            <w:tcW w:w="1040" w:type="dxa"/>
            <w:tcBorders>
              <w:top w:val="nil"/>
              <w:left w:val="nil"/>
              <w:bottom w:val="single" w:sz="4" w:space="0" w:color="auto"/>
              <w:right w:val="single" w:sz="4" w:space="0" w:color="auto"/>
            </w:tcBorders>
            <w:shd w:val="clear" w:color="auto" w:fill="auto"/>
            <w:noWrap/>
            <w:vAlign w:val="bottom"/>
            <w:hideMark/>
          </w:tcPr>
          <w:p w14:paraId="76A316F8" w14:textId="77777777" w:rsidR="00527158" w:rsidRPr="00EF768C" w:rsidRDefault="00D77DFF" w:rsidP="00462410">
            <w:pPr>
              <w:jc w:val="both"/>
              <w:rPr>
                <w:sz w:val="18"/>
                <w:szCs w:val="18"/>
              </w:rPr>
            </w:pPr>
            <w:r w:rsidRPr="00EF768C">
              <w:rPr>
                <w:sz w:val="18"/>
                <w:szCs w:val="18"/>
              </w:rPr>
              <w:t> </w:t>
            </w:r>
          </w:p>
        </w:tc>
        <w:tc>
          <w:tcPr>
            <w:tcW w:w="1773" w:type="dxa"/>
            <w:tcBorders>
              <w:top w:val="nil"/>
              <w:left w:val="nil"/>
              <w:bottom w:val="single" w:sz="4" w:space="0" w:color="auto"/>
              <w:right w:val="single" w:sz="4" w:space="0" w:color="auto"/>
            </w:tcBorders>
            <w:shd w:val="clear" w:color="auto" w:fill="auto"/>
            <w:noWrap/>
            <w:vAlign w:val="bottom"/>
            <w:hideMark/>
          </w:tcPr>
          <w:p w14:paraId="69B52CF0" w14:textId="77777777" w:rsidR="00527158" w:rsidRPr="00EF768C" w:rsidRDefault="00D77DFF" w:rsidP="00462410">
            <w:pPr>
              <w:jc w:val="both"/>
              <w:rPr>
                <w:sz w:val="18"/>
                <w:szCs w:val="18"/>
              </w:rPr>
            </w:pPr>
            <w:r w:rsidRPr="00EF768C">
              <w:rPr>
                <w:sz w:val="18"/>
                <w:szCs w:val="18"/>
              </w:rPr>
              <w:t>Praha</w:t>
            </w:r>
          </w:p>
        </w:tc>
        <w:tc>
          <w:tcPr>
            <w:tcW w:w="1129" w:type="dxa"/>
            <w:tcBorders>
              <w:top w:val="nil"/>
              <w:left w:val="nil"/>
              <w:bottom w:val="single" w:sz="4" w:space="0" w:color="auto"/>
              <w:right w:val="single" w:sz="4" w:space="0" w:color="auto"/>
            </w:tcBorders>
            <w:shd w:val="clear" w:color="auto" w:fill="auto"/>
            <w:noWrap/>
            <w:vAlign w:val="bottom"/>
            <w:hideMark/>
          </w:tcPr>
          <w:p w14:paraId="6689F556" w14:textId="77777777" w:rsidR="00527158" w:rsidRPr="00EF768C" w:rsidRDefault="00D77DFF" w:rsidP="00462410">
            <w:pPr>
              <w:jc w:val="both"/>
              <w:rPr>
                <w:sz w:val="18"/>
                <w:szCs w:val="18"/>
              </w:rPr>
            </w:pPr>
            <w:r w:rsidRPr="00EF768C">
              <w:rPr>
                <w:sz w:val="18"/>
                <w:szCs w:val="18"/>
              </w:rPr>
              <w:t>0</w:t>
            </w:r>
          </w:p>
        </w:tc>
        <w:tc>
          <w:tcPr>
            <w:tcW w:w="1129" w:type="dxa"/>
            <w:tcBorders>
              <w:top w:val="nil"/>
              <w:left w:val="nil"/>
              <w:bottom w:val="single" w:sz="4" w:space="0" w:color="auto"/>
              <w:right w:val="single" w:sz="4" w:space="0" w:color="auto"/>
            </w:tcBorders>
            <w:shd w:val="clear" w:color="auto" w:fill="auto"/>
            <w:noWrap/>
            <w:vAlign w:val="bottom"/>
            <w:hideMark/>
          </w:tcPr>
          <w:p w14:paraId="5595D1A3" w14:textId="77777777" w:rsidR="00527158" w:rsidRPr="00EF768C" w:rsidRDefault="00D77DFF" w:rsidP="00462410">
            <w:pPr>
              <w:jc w:val="both"/>
              <w:rPr>
                <w:sz w:val="18"/>
                <w:szCs w:val="18"/>
              </w:rPr>
            </w:pPr>
            <w:r w:rsidRPr="00EF768C">
              <w:rPr>
                <w:sz w:val="18"/>
                <w:szCs w:val="18"/>
              </w:rPr>
              <w:t>0</w:t>
            </w:r>
          </w:p>
        </w:tc>
        <w:tc>
          <w:tcPr>
            <w:tcW w:w="1131" w:type="dxa"/>
            <w:tcBorders>
              <w:top w:val="nil"/>
              <w:left w:val="nil"/>
              <w:bottom w:val="single" w:sz="4" w:space="0" w:color="auto"/>
              <w:right w:val="nil"/>
            </w:tcBorders>
            <w:shd w:val="clear" w:color="auto" w:fill="auto"/>
            <w:noWrap/>
            <w:vAlign w:val="bottom"/>
            <w:hideMark/>
          </w:tcPr>
          <w:p w14:paraId="6F983B8B" w14:textId="77777777" w:rsidR="00527158" w:rsidRPr="00EF768C" w:rsidRDefault="00D77DFF" w:rsidP="00462410">
            <w:pPr>
              <w:jc w:val="both"/>
              <w:rPr>
                <w:sz w:val="18"/>
                <w:szCs w:val="18"/>
              </w:rPr>
            </w:pPr>
            <w:r w:rsidRPr="00EF768C">
              <w:rPr>
                <w:sz w:val="18"/>
                <w:szCs w:val="18"/>
              </w:rPr>
              <w:t>0</w:t>
            </w:r>
          </w:p>
        </w:tc>
        <w:tc>
          <w:tcPr>
            <w:tcW w:w="1159" w:type="dxa"/>
            <w:tcBorders>
              <w:top w:val="nil"/>
              <w:left w:val="double" w:sz="6" w:space="0" w:color="auto"/>
              <w:bottom w:val="single" w:sz="4" w:space="0" w:color="auto"/>
              <w:right w:val="single" w:sz="4" w:space="0" w:color="auto"/>
            </w:tcBorders>
            <w:shd w:val="clear" w:color="000000" w:fill="F2F2F2"/>
            <w:noWrap/>
            <w:vAlign w:val="bottom"/>
            <w:hideMark/>
          </w:tcPr>
          <w:p w14:paraId="3E3141D3" w14:textId="77777777" w:rsidR="00527158" w:rsidRPr="00EF768C" w:rsidRDefault="00D77DFF" w:rsidP="00462410">
            <w:pPr>
              <w:jc w:val="both"/>
              <w:rPr>
                <w:sz w:val="18"/>
                <w:szCs w:val="18"/>
              </w:rPr>
            </w:pPr>
            <w:r w:rsidRPr="00EF768C">
              <w:rPr>
                <w:sz w:val="18"/>
                <w:szCs w:val="18"/>
              </w:rPr>
              <w:t>0</w:t>
            </w:r>
          </w:p>
        </w:tc>
        <w:tc>
          <w:tcPr>
            <w:tcW w:w="1159" w:type="dxa"/>
            <w:tcBorders>
              <w:top w:val="nil"/>
              <w:left w:val="nil"/>
              <w:bottom w:val="single" w:sz="4" w:space="0" w:color="auto"/>
              <w:right w:val="single" w:sz="4" w:space="0" w:color="auto"/>
            </w:tcBorders>
            <w:shd w:val="clear" w:color="000000" w:fill="F2F2F2"/>
            <w:noWrap/>
            <w:vAlign w:val="bottom"/>
            <w:hideMark/>
          </w:tcPr>
          <w:p w14:paraId="02B71F16" w14:textId="77777777" w:rsidR="00527158" w:rsidRPr="00EF768C" w:rsidRDefault="00D77DFF" w:rsidP="00462410">
            <w:pPr>
              <w:jc w:val="both"/>
              <w:rPr>
                <w:sz w:val="18"/>
                <w:szCs w:val="18"/>
              </w:rPr>
            </w:pPr>
            <w:r w:rsidRPr="00EF768C">
              <w:rPr>
                <w:sz w:val="18"/>
                <w:szCs w:val="18"/>
              </w:rPr>
              <w:t>0</w:t>
            </w:r>
          </w:p>
        </w:tc>
      </w:tr>
      <w:tr w:rsidR="0046600D" w14:paraId="35705570" w14:textId="77777777" w:rsidTr="00527158">
        <w:trPr>
          <w:trHeight w:val="32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44A964D0" w14:textId="77777777" w:rsidR="00527158" w:rsidRPr="00EF768C" w:rsidRDefault="00D77DFF" w:rsidP="00462410">
            <w:pPr>
              <w:jc w:val="both"/>
              <w:rPr>
                <w:sz w:val="18"/>
                <w:szCs w:val="18"/>
              </w:rPr>
            </w:pPr>
            <w:r w:rsidRPr="00EF768C">
              <w:rPr>
                <w:sz w:val="18"/>
                <w:szCs w:val="18"/>
              </w:rPr>
              <w:t>NUTS 02</w:t>
            </w:r>
          </w:p>
        </w:tc>
        <w:tc>
          <w:tcPr>
            <w:tcW w:w="1040" w:type="dxa"/>
            <w:tcBorders>
              <w:top w:val="nil"/>
              <w:left w:val="nil"/>
              <w:bottom w:val="single" w:sz="4" w:space="0" w:color="auto"/>
              <w:right w:val="single" w:sz="4" w:space="0" w:color="auto"/>
            </w:tcBorders>
            <w:shd w:val="clear" w:color="auto" w:fill="auto"/>
            <w:noWrap/>
            <w:vAlign w:val="bottom"/>
            <w:hideMark/>
          </w:tcPr>
          <w:p w14:paraId="318D4805" w14:textId="77777777" w:rsidR="00527158" w:rsidRPr="00EF768C" w:rsidRDefault="00D77DFF" w:rsidP="00462410">
            <w:pPr>
              <w:jc w:val="both"/>
              <w:rPr>
                <w:sz w:val="18"/>
                <w:szCs w:val="18"/>
              </w:rPr>
            </w:pPr>
            <w:r w:rsidRPr="00EF768C">
              <w:rPr>
                <w:sz w:val="18"/>
                <w:szCs w:val="18"/>
              </w:rPr>
              <w:t> </w:t>
            </w:r>
          </w:p>
        </w:tc>
        <w:tc>
          <w:tcPr>
            <w:tcW w:w="1773" w:type="dxa"/>
            <w:tcBorders>
              <w:top w:val="nil"/>
              <w:left w:val="nil"/>
              <w:bottom w:val="single" w:sz="4" w:space="0" w:color="auto"/>
              <w:right w:val="single" w:sz="4" w:space="0" w:color="auto"/>
            </w:tcBorders>
            <w:shd w:val="clear" w:color="auto" w:fill="auto"/>
            <w:noWrap/>
            <w:vAlign w:val="bottom"/>
            <w:hideMark/>
          </w:tcPr>
          <w:p w14:paraId="1410B419" w14:textId="77777777" w:rsidR="00527158" w:rsidRPr="00EF768C" w:rsidRDefault="00D77DFF" w:rsidP="00462410">
            <w:pPr>
              <w:jc w:val="both"/>
              <w:rPr>
                <w:sz w:val="18"/>
                <w:szCs w:val="18"/>
              </w:rPr>
            </w:pPr>
            <w:r w:rsidRPr="00EF768C">
              <w:rPr>
                <w:sz w:val="18"/>
                <w:szCs w:val="18"/>
              </w:rPr>
              <w:t>Střední Čechy**</w:t>
            </w:r>
          </w:p>
        </w:tc>
        <w:tc>
          <w:tcPr>
            <w:tcW w:w="1129" w:type="dxa"/>
            <w:tcBorders>
              <w:top w:val="nil"/>
              <w:left w:val="nil"/>
              <w:bottom w:val="single" w:sz="4" w:space="0" w:color="auto"/>
              <w:right w:val="single" w:sz="4" w:space="0" w:color="auto"/>
            </w:tcBorders>
            <w:shd w:val="clear" w:color="auto" w:fill="auto"/>
            <w:noWrap/>
            <w:vAlign w:val="bottom"/>
            <w:hideMark/>
          </w:tcPr>
          <w:p w14:paraId="5FD9D31C" w14:textId="77777777" w:rsidR="00527158" w:rsidRPr="00EF768C" w:rsidRDefault="00D77DFF" w:rsidP="00462410">
            <w:pPr>
              <w:jc w:val="both"/>
              <w:rPr>
                <w:sz w:val="18"/>
                <w:szCs w:val="18"/>
              </w:rPr>
            </w:pPr>
            <w:r w:rsidRPr="00EF768C">
              <w:rPr>
                <w:sz w:val="18"/>
                <w:szCs w:val="18"/>
              </w:rPr>
              <w:t>25</w:t>
            </w:r>
          </w:p>
        </w:tc>
        <w:tc>
          <w:tcPr>
            <w:tcW w:w="1129" w:type="dxa"/>
            <w:tcBorders>
              <w:top w:val="nil"/>
              <w:left w:val="nil"/>
              <w:bottom w:val="single" w:sz="4" w:space="0" w:color="auto"/>
              <w:right w:val="single" w:sz="4" w:space="0" w:color="auto"/>
            </w:tcBorders>
            <w:shd w:val="clear" w:color="auto" w:fill="auto"/>
            <w:noWrap/>
            <w:vAlign w:val="bottom"/>
            <w:hideMark/>
          </w:tcPr>
          <w:p w14:paraId="4284C392" w14:textId="77777777" w:rsidR="00527158" w:rsidRPr="00EF768C" w:rsidRDefault="00D77DFF" w:rsidP="00462410">
            <w:pPr>
              <w:jc w:val="both"/>
              <w:rPr>
                <w:sz w:val="18"/>
                <w:szCs w:val="18"/>
              </w:rPr>
            </w:pPr>
            <w:r w:rsidRPr="00EF768C">
              <w:rPr>
                <w:sz w:val="18"/>
                <w:szCs w:val="18"/>
              </w:rPr>
              <w:t>20</w:t>
            </w:r>
          </w:p>
        </w:tc>
        <w:tc>
          <w:tcPr>
            <w:tcW w:w="1131" w:type="dxa"/>
            <w:tcBorders>
              <w:top w:val="nil"/>
              <w:left w:val="nil"/>
              <w:bottom w:val="single" w:sz="4" w:space="0" w:color="auto"/>
              <w:right w:val="nil"/>
            </w:tcBorders>
            <w:shd w:val="clear" w:color="auto" w:fill="auto"/>
            <w:noWrap/>
            <w:vAlign w:val="bottom"/>
            <w:hideMark/>
          </w:tcPr>
          <w:p w14:paraId="7A4F8F2D" w14:textId="77777777" w:rsidR="00527158" w:rsidRPr="00EF768C" w:rsidRDefault="00D77DFF" w:rsidP="00462410">
            <w:pPr>
              <w:jc w:val="both"/>
              <w:rPr>
                <w:sz w:val="18"/>
                <w:szCs w:val="18"/>
              </w:rPr>
            </w:pPr>
            <w:r w:rsidRPr="00EF768C">
              <w:rPr>
                <w:sz w:val="18"/>
                <w:szCs w:val="18"/>
              </w:rPr>
              <w:t>15</w:t>
            </w:r>
          </w:p>
        </w:tc>
        <w:tc>
          <w:tcPr>
            <w:tcW w:w="1159" w:type="dxa"/>
            <w:tcBorders>
              <w:top w:val="nil"/>
              <w:left w:val="double" w:sz="6" w:space="0" w:color="auto"/>
              <w:bottom w:val="single" w:sz="4" w:space="0" w:color="auto"/>
              <w:right w:val="single" w:sz="4" w:space="0" w:color="auto"/>
            </w:tcBorders>
            <w:shd w:val="clear" w:color="000000" w:fill="F2F2F2"/>
            <w:noWrap/>
            <w:vAlign w:val="bottom"/>
            <w:hideMark/>
          </w:tcPr>
          <w:p w14:paraId="5934BB11" w14:textId="77777777" w:rsidR="00527158" w:rsidRPr="00EF768C" w:rsidRDefault="00D77DFF" w:rsidP="00462410">
            <w:pPr>
              <w:jc w:val="both"/>
              <w:rPr>
                <w:sz w:val="18"/>
                <w:szCs w:val="18"/>
              </w:rPr>
            </w:pPr>
            <w:r w:rsidRPr="00EF768C">
              <w:rPr>
                <w:sz w:val="18"/>
                <w:szCs w:val="18"/>
              </w:rPr>
              <w:t>20</w:t>
            </w:r>
          </w:p>
        </w:tc>
        <w:tc>
          <w:tcPr>
            <w:tcW w:w="1159" w:type="dxa"/>
            <w:tcBorders>
              <w:top w:val="nil"/>
              <w:left w:val="nil"/>
              <w:bottom w:val="single" w:sz="4" w:space="0" w:color="auto"/>
              <w:right w:val="single" w:sz="4" w:space="0" w:color="auto"/>
            </w:tcBorders>
            <w:shd w:val="clear" w:color="000000" w:fill="F2F2F2"/>
            <w:noWrap/>
            <w:vAlign w:val="bottom"/>
            <w:hideMark/>
          </w:tcPr>
          <w:p w14:paraId="56F94F9E" w14:textId="77777777" w:rsidR="00527158" w:rsidRPr="00EF768C" w:rsidRDefault="00D77DFF" w:rsidP="00462410">
            <w:pPr>
              <w:jc w:val="both"/>
              <w:rPr>
                <w:sz w:val="18"/>
                <w:szCs w:val="18"/>
              </w:rPr>
            </w:pPr>
            <w:r w:rsidRPr="00EF768C">
              <w:rPr>
                <w:sz w:val="18"/>
                <w:szCs w:val="18"/>
              </w:rPr>
              <w:t>10</w:t>
            </w:r>
          </w:p>
        </w:tc>
      </w:tr>
      <w:tr w:rsidR="0046600D" w14:paraId="761E86FF" w14:textId="77777777" w:rsidTr="00527158">
        <w:trPr>
          <w:trHeight w:val="320"/>
        </w:trPr>
        <w:tc>
          <w:tcPr>
            <w:tcW w:w="797" w:type="dxa"/>
            <w:tcBorders>
              <w:top w:val="nil"/>
              <w:left w:val="single" w:sz="4" w:space="0" w:color="auto"/>
              <w:bottom w:val="single" w:sz="4" w:space="0" w:color="auto"/>
              <w:right w:val="single" w:sz="4" w:space="0" w:color="auto"/>
            </w:tcBorders>
            <w:shd w:val="clear" w:color="000000" w:fill="E7E6E6"/>
            <w:noWrap/>
            <w:vAlign w:val="bottom"/>
            <w:hideMark/>
          </w:tcPr>
          <w:p w14:paraId="318A78E3" w14:textId="77777777" w:rsidR="00527158" w:rsidRPr="00EF768C" w:rsidRDefault="00D77DFF" w:rsidP="00462410">
            <w:pPr>
              <w:jc w:val="both"/>
              <w:rPr>
                <w:sz w:val="18"/>
                <w:szCs w:val="18"/>
              </w:rPr>
            </w:pPr>
            <w:r w:rsidRPr="00EF768C">
              <w:rPr>
                <w:sz w:val="18"/>
                <w:szCs w:val="18"/>
              </w:rPr>
              <w:t> </w:t>
            </w:r>
          </w:p>
        </w:tc>
        <w:tc>
          <w:tcPr>
            <w:tcW w:w="1040" w:type="dxa"/>
            <w:tcBorders>
              <w:top w:val="nil"/>
              <w:left w:val="nil"/>
              <w:bottom w:val="single" w:sz="4" w:space="0" w:color="auto"/>
              <w:right w:val="single" w:sz="4" w:space="0" w:color="auto"/>
            </w:tcBorders>
            <w:shd w:val="clear" w:color="000000" w:fill="E7E6E6"/>
            <w:noWrap/>
            <w:vAlign w:val="bottom"/>
            <w:hideMark/>
          </w:tcPr>
          <w:p w14:paraId="284C7615" w14:textId="77777777" w:rsidR="00527158" w:rsidRPr="00EF768C" w:rsidRDefault="00D77DFF" w:rsidP="00462410">
            <w:pPr>
              <w:jc w:val="both"/>
              <w:rPr>
                <w:sz w:val="18"/>
                <w:szCs w:val="18"/>
              </w:rPr>
            </w:pPr>
            <w:r w:rsidRPr="00EF768C">
              <w:rPr>
                <w:sz w:val="18"/>
                <w:szCs w:val="18"/>
              </w:rPr>
              <w:t>Rakovník</w:t>
            </w:r>
          </w:p>
        </w:tc>
        <w:tc>
          <w:tcPr>
            <w:tcW w:w="1773" w:type="dxa"/>
            <w:tcBorders>
              <w:top w:val="nil"/>
              <w:left w:val="nil"/>
              <w:bottom w:val="single" w:sz="4" w:space="0" w:color="auto"/>
              <w:right w:val="single" w:sz="4" w:space="0" w:color="auto"/>
            </w:tcBorders>
            <w:shd w:val="clear" w:color="000000" w:fill="E7E6E6"/>
            <w:noWrap/>
            <w:vAlign w:val="bottom"/>
            <w:hideMark/>
          </w:tcPr>
          <w:p w14:paraId="185AC066" w14:textId="77777777" w:rsidR="00527158" w:rsidRPr="00EF768C" w:rsidRDefault="00D77DFF" w:rsidP="00462410">
            <w:pPr>
              <w:jc w:val="both"/>
              <w:rPr>
                <w:sz w:val="18"/>
                <w:szCs w:val="18"/>
              </w:rPr>
            </w:pPr>
            <w:r w:rsidRPr="00EF768C">
              <w:rPr>
                <w:sz w:val="18"/>
                <w:szCs w:val="18"/>
              </w:rPr>
              <w:t> </w:t>
            </w:r>
          </w:p>
        </w:tc>
        <w:tc>
          <w:tcPr>
            <w:tcW w:w="1129" w:type="dxa"/>
            <w:tcBorders>
              <w:top w:val="nil"/>
              <w:left w:val="nil"/>
              <w:bottom w:val="single" w:sz="4" w:space="0" w:color="auto"/>
              <w:right w:val="single" w:sz="4" w:space="0" w:color="auto"/>
            </w:tcBorders>
            <w:shd w:val="clear" w:color="000000" w:fill="E7E6E6"/>
            <w:noWrap/>
            <w:vAlign w:val="bottom"/>
            <w:hideMark/>
          </w:tcPr>
          <w:p w14:paraId="6C93C871" w14:textId="77777777" w:rsidR="00527158" w:rsidRPr="00EF768C" w:rsidRDefault="00D77DFF" w:rsidP="00462410">
            <w:pPr>
              <w:jc w:val="both"/>
              <w:rPr>
                <w:sz w:val="18"/>
                <w:szCs w:val="18"/>
              </w:rPr>
            </w:pPr>
            <w:r w:rsidRPr="00EF768C">
              <w:rPr>
                <w:sz w:val="18"/>
                <w:szCs w:val="18"/>
              </w:rPr>
              <w:t> </w:t>
            </w:r>
          </w:p>
        </w:tc>
        <w:tc>
          <w:tcPr>
            <w:tcW w:w="1129" w:type="dxa"/>
            <w:tcBorders>
              <w:top w:val="nil"/>
              <w:left w:val="nil"/>
              <w:bottom w:val="single" w:sz="4" w:space="0" w:color="auto"/>
              <w:right w:val="single" w:sz="4" w:space="0" w:color="auto"/>
            </w:tcBorders>
            <w:shd w:val="clear" w:color="000000" w:fill="E7E6E6"/>
            <w:noWrap/>
            <w:vAlign w:val="bottom"/>
            <w:hideMark/>
          </w:tcPr>
          <w:p w14:paraId="7C7D8A83" w14:textId="77777777" w:rsidR="00527158" w:rsidRPr="00EF768C" w:rsidRDefault="00D77DFF" w:rsidP="00462410">
            <w:pPr>
              <w:jc w:val="both"/>
              <w:rPr>
                <w:sz w:val="18"/>
                <w:szCs w:val="18"/>
              </w:rPr>
            </w:pPr>
            <w:r w:rsidRPr="00EF768C">
              <w:rPr>
                <w:sz w:val="18"/>
                <w:szCs w:val="18"/>
              </w:rPr>
              <w:t>25</w:t>
            </w:r>
          </w:p>
        </w:tc>
        <w:tc>
          <w:tcPr>
            <w:tcW w:w="1131" w:type="dxa"/>
            <w:tcBorders>
              <w:top w:val="nil"/>
              <w:left w:val="nil"/>
              <w:bottom w:val="single" w:sz="4" w:space="0" w:color="auto"/>
              <w:right w:val="single" w:sz="4" w:space="0" w:color="auto"/>
            </w:tcBorders>
            <w:shd w:val="clear" w:color="000000" w:fill="E7E6E6"/>
            <w:noWrap/>
            <w:vAlign w:val="bottom"/>
            <w:hideMark/>
          </w:tcPr>
          <w:p w14:paraId="7737C058" w14:textId="77777777" w:rsidR="00527158" w:rsidRPr="00EF768C" w:rsidRDefault="00D77DFF" w:rsidP="00462410">
            <w:pPr>
              <w:jc w:val="both"/>
              <w:rPr>
                <w:sz w:val="18"/>
                <w:szCs w:val="18"/>
              </w:rPr>
            </w:pPr>
            <w:r w:rsidRPr="00EF768C">
              <w:rPr>
                <w:sz w:val="18"/>
                <w:szCs w:val="18"/>
              </w:rPr>
              <w:t>25</w:t>
            </w:r>
          </w:p>
        </w:tc>
        <w:tc>
          <w:tcPr>
            <w:tcW w:w="1159" w:type="dxa"/>
            <w:tcBorders>
              <w:top w:val="nil"/>
              <w:left w:val="double" w:sz="6" w:space="0" w:color="auto"/>
              <w:bottom w:val="single" w:sz="4" w:space="0" w:color="auto"/>
              <w:right w:val="single" w:sz="4" w:space="0" w:color="auto"/>
            </w:tcBorders>
            <w:shd w:val="clear" w:color="000000" w:fill="F2F2F2"/>
            <w:noWrap/>
            <w:vAlign w:val="bottom"/>
            <w:hideMark/>
          </w:tcPr>
          <w:p w14:paraId="30DADA71" w14:textId="77777777" w:rsidR="00527158" w:rsidRPr="00EF768C" w:rsidRDefault="00D77DFF" w:rsidP="00462410">
            <w:pPr>
              <w:jc w:val="both"/>
              <w:rPr>
                <w:sz w:val="18"/>
                <w:szCs w:val="18"/>
              </w:rPr>
            </w:pPr>
            <w:r w:rsidRPr="00EF768C">
              <w:rPr>
                <w:sz w:val="18"/>
                <w:szCs w:val="18"/>
              </w:rPr>
              <w:t>20</w:t>
            </w:r>
          </w:p>
        </w:tc>
        <w:tc>
          <w:tcPr>
            <w:tcW w:w="1159" w:type="dxa"/>
            <w:tcBorders>
              <w:top w:val="nil"/>
              <w:left w:val="nil"/>
              <w:bottom w:val="single" w:sz="4" w:space="0" w:color="auto"/>
              <w:right w:val="single" w:sz="4" w:space="0" w:color="auto"/>
            </w:tcBorders>
            <w:shd w:val="clear" w:color="000000" w:fill="F2F2F2"/>
            <w:noWrap/>
            <w:vAlign w:val="bottom"/>
            <w:hideMark/>
          </w:tcPr>
          <w:p w14:paraId="56FAFF3C" w14:textId="77777777" w:rsidR="00527158" w:rsidRPr="00EF768C" w:rsidRDefault="00D77DFF" w:rsidP="00462410">
            <w:pPr>
              <w:jc w:val="both"/>
              <w:rPr>
                <w:sz w:val="18"/>
                <w:szCs w:val="18"/>
              </w:rPr>
            </w:pPr>
            <w:r w:rsidRPr="00EF768C">
              <w:rPr>
                <w:sz w:val="18"/>
                <w:szCs w:val="18"/>
              </w:rPr>
              <w:t>10</w:t>
            </w:r>
          </w:p>
        </w:tc>
      </w:tr>
      <w:tr w:rsidR="0046600D" w14:paraId="65D2355F" w14:textId="77777777" w:rsidTr="00527158">
        <w:trPr>
          <w:trHeight w:val="320"/>
        </w:trPr>
        <w:tc>
          <w:tcPr>
            <w:tcW w:w="797" w:type="dxa"/>
            <w:tcBorders>
              <w:top w:val="nil"/>
              <w:left w:val="single" w:sz="4" w:space="0" w:color="auto"/>
              <w:bottom w:val="single" w:sz="4" w:space="0" w:color="auto"/>
              <w:right w:val="single" w:sz="4" w:space="0" w:color="auto"/>
            </w:tcBorders>
            <w:shd w:val="clear" w:color="000000" w:fill="E7E6E6"/>
            <w:noWrap/>
            <w:vAlign w:val="bottom"/>
            <w:hideMark/>
          </w:tcPr>
          <w:p w14:paraId="0C2DDB8D" w14:textId="77777777" w:rsidR="00527158" w:rsidRPr="00EF768C" w:rsidRDefault="00D77DFF" w:rsidP="00462410">
            <w:pPr>
              <w:jc w:val="both"/>
              <w:rPr>
                <w:sz w:val="18"/>
                <w:szCs w:val="18"/>
              </w:rPr>
            </w:pPr>
            <w:r w:rsidRPr="00EF768C">
              <w:rPr>
                <w:sz w:val="18"/>
                <w:szCs w:val="18"/>
              </w:rPr>
              <w:t> </w:t>
            </w:r>
          </w:p>
        </w:tc>
        <w:tc>
          <w:tcPr>
            <w:tcW w:w="1040" w:type="dxa"/>
            <w:tcBorders>
              <w:top w:val="nil"/>
              <w:left w:val="nil"/>
              <w:bottom w:val="single" w:sz="4" w:space="0" w:color="auto"/>
              <w:right w:val="single" w:sz="4" w:space="0" w:color="auto"/>
            </w:tcBorders>
            <w:shd w:val="clear" w:color="000000" w:fill="E7E6E6"/>
            <w:noWrap/>
            <w:vAlign w:val="bottom"/>
            <w:hideMark/>
          </w:tcPr>
          <w:p w14:paraId="564C6DE3" w14:textId="77777777" w:rsidR="00527158" w:rsidRPr="00EF768C" w:rsidRDefault="00D77DFF" w:rsidP="00462410">
            <w:pPr>
              <w:jc w:val="both"/>
              <w:rPr>
                <w:sz w:val="18"/>
                <w:szCs w:val="18"/>
              </w:rPr>
            </w:pPr>
            <w:r w:rsidRPr="00EF768C">
              <w:rPr>
                <w:sz w:val="18"/>
                <w:szCs w:val="18"/>
              </w:rPr>
              <w:t>Kladno</w:t>
            </w:r>
          </w:p>
        </w:tc>
        <w:tc>
          <w:tcPr>
            <w:tcW w:w="1773" w:type="dxa"/>
            <w:tcBorders>
              <w:top w:val="nil"/>
              <w:left w:val="nil"/>
              <w:bottom w:val="single" w:sz="4" w:space="0" w:color="auto"/>
              <w:right w:val="single" w:sz="4" w:space="0" w:color="auto"/>
            </w:tcBorders>
            <w:shd w:val="clear" w:color="000000" w:fill="E7E6E6"/>
            <w:noWrap/>
            <w:vAlign w:val="bottom"/>
            <w:hideMark/>
          </w:tcPr>
          <w:p w14:paraId="4D208A1C" w14:textId="77777777" w:rsidR="00527158" w:rsidRPr="00EF768C" w:rsidRDefault="00D77DFF" w:rsidP="00462410">
            <w:pPr>
              <w:jc w:val="both"/>
              <w:rPr>
                <w:sz w:val="18"/>
                <w:szCs w:val="18"/>
              </w:rPr>
            </w:pPr>
            <w:r w:rsidRPr="00EF768C">
              <w:rPr>
                <w:sz w:val="18"/>
                <w:szCs w:val="18"/>
              </w:rPr>
              <w:t> </w:t>
            </w:r>
          </w:p>
        </w:tc>
        <w:tc>
          <w:tcPr>
            <w:tcW w:w="1129" w:type="dxa"/>
            <w:tcBorders>
              <w:top w:val="nil"/>
              <w:left w:val="nil"/>
              <w:bottom w:val="single" w:sz="4" w:space="0" w:color="auto"/>
              <w:right w:val="single" w:sz="4" w:space="0" w:color="auto"/>
            </w:tcBorders>
            <w:shd w:val="clear" w:color="000000" w:fill="E7E6E6"/>
            <w:noWrap/>
            <w:vAlign w:val="bottom"/>
            <w:hideMark/>
          </w:tcPr>
          <w:p w14:paraId="745F3C8B" w14:textId="77777777" w:rsidR="00527158" w:rsidRPr="00EF768C" w:rsidRDefault="00D77DFF" w:rsidP="00462410">
            <w:pPr>
              <w:jc w:val="both"/>
              <w:rPr>
                <w:sz w:val="18"/>
                <w:szCs w:val="18"/>
              </w:rPr>
            </w:pPr>
            <w:r w:rsidRPr="00EF768C">
              <w:rPr>
                <w:sz w:val="18"/>
                <w:szCs w:val="18"/>
              </w:rPr>
              <w:t> </w:t>
            </w:r>
          </w:p>
        </w:tc>
        <w:tc>
          <w:tcPr>
            <w:tcW w:w="1129" w:type="dxa"/>
            <w:tcBorders>
              <w:top w:val="nil"/>
              <w:left w:val="nil"/>
              <w:bottom w:val="single" w:sz="4" w:space="0" w:color="auto"/>
              <w:right w:val="single" w:sz="4" w:space="0" w:color="auto"/>
            </w:tcBorders>
            <w:shd w:val="clear" w:color="000000" w:fill="E7E6E6"/>
            <w:noWrap/>
            <w:vAlign w:val="bottom"/>
            <w:hideMark/>
          </w:tcPr>
          <w:p w14:paraId="04A2A1AD" w14:textId="77777777" w:rsidR="00527158" w:rsidRPr="00EF768C" w:rsidRDefault="00D77DFF" w:rsidP="00462410">
            <w:pPr>
              <w:jc w:val="both"/>
              <w:rPr>
                <w:sz w:val="18"/>
                <w:szCs w:val="18"/>
              </w:rPr>
            </w:pPr>
            <w:r w:rsidRPr="00EF768C">
              <w:rPr>
                <w:sz w:val="18"/>
                <w:szCs w:val="18"/>
              </w:rPr>
              <w:t>25</w:t>
            </w:r>
          </w:p>
        </w:tc>
        <w:tc>
          <w:tcPr>
            <w:tcW w:w="1131" w:type="dxa"/>
            <w:tcBorders>
              <w:top w:val="nil"/>
              <w:left w:val="nil"/>
              <w:bottom w:val="single" w:sz="4" w:space="0" w:color="auto"/>
              <w:right w:val="single" w:sz="4" w:space="0" w:color="auto"/>
            </w:tcBorders>
            <w:shd w:val="clear" w:color="000000" w:fill="E7E6E6"/>
            <w:noWrap/>
            <w:vAlign w:val="bottom"/>
            <w:hideMark/>
          </w:tcPr>
          <w:p w14:paraId="6E212304" w14:textId="77777777" w:rsidR="00527158" w:rsidRPr="00EF768C" w:rsidRDefault="00D77DFF" w:rsidP="00462410">
            <w:pPr>
              <w:jc w:val="both"/>
              <w:rPr>
                <w:sz w:val="18"/>
                <w:szCs w:val="18"/>
              </w:rPr>
            </w:pPr>
            <w:r w:rsidRPr="00EF768C">
              <w:rPr>
                <w:sz w:val="18"/>
                <w:szCs w:val="18"/>
              </w:rPr>
              <w:t>25</w:t>
            </w:r>
          </w:p>
        </w:tc>
        <w:tc>
          <w:tcPr>
            <w:tcW w:w="1159" w:type="dxa"/>
            <w:tcBorders>
              <w:top w:val="nil"/>
              <w:left w:val="double" w:sz="6" w:space="0" w:color="auto"/>
              <w:bottom w:val="single" w:sz="4" w:space="0" w:color="auto"/>
              <w:right w:val="single" w:sz="4" w:space="0" w:color="auto"/>
            </w:tcBorders>
            <w:shd w:val="clear" w:color="000000" w:fill="F2F2F2"/>
            <w:noWrap/>
            <w:vAlign w:val="bottom"/>
            <w:hideMark/>
          </w:tcPr>
          <w:p w14:paraId="08494100" w14:textId="77777777" w:rsidR="00527158" w:rsidRPr="00EF768C" w:rsidRDefault="00D77DFF" w:rsidP="00462410">
            <w:pPr>
              <w:jc w:val="both"/>
              <w:rPr>
                <w:sz w:val="18"/>
                <w:szCs w:val="18"/>
              </w:rPr>
            </w:pPr>
            <w:r w:rsidRPr="00EF768C">
              <w:rPr>
                <w:sz w:val="18"/>
                <w:szCs w:val="18"/>
              </w:rPr>
              <w:t>20</w:t>
            </w:r>
          </w:p>
        </w:tc>
        <w:tc>
          <w:tcPr>
            <w:tcW w:w="1159" w:type="dxa"/>
            <w:tcBorders>
              <w:top w:val="nil"/>
              <w:left w:val="nil"/>
              <w:bottom w:val="single" w:sz="4" w:space="0" w:color="auto"/>
              <w:right w:val="single" w:sz="4" w:space="0" w:color="auto"/>
            </w:tcBorders>
            <w:shd w:val="clear" w:color="000000" w:fill="F2F2F2"/>
            <w:noWrap/>
            <w:vAlign w:val="bottom"/>
            <w:hideMark/>
          </w:tcPr>
          <w:p w14:paraId="7D4F49E1" w14:textId="77777777" w:rsidR="00527158" w:rsidRPr="00EF768C" w:rsidRDefault="00D77DFF" w:rsidP="00462410">
            <w:pPr>
              <w:jc w:val="both"/>
              <w:rPr>
                <w:sz w:val="18"/>
                <w:szCs w:val="18"/>
              </w:rPr>
            </w:pPr>
            <w:r w:rsidRPr="00EF768C">
              <w:rPr>
                <w:sz w:val="18"/>
                <w:szCs w:val="18"/>
              </w:rPr>
              <w:t>10</w:t>
            </w:r>
          </w:p>
        </w:tc>
      </w:tr>
      <w:tr w:rsidR="0046600D" w14:paraId="445E9E35" w14:textId="77777777" w:rsidTr="00527158">
        <w:trPr>
          <w:trHeight w:val="320"/>
        </w:trPr>
        <w:tc>
          <w:tcPr>
            <w:tcW w:w="797" w:type="dxa"/>
            <w:tcBorders>
              <w:top w:val="nil"/>
              <w:left w:val="single" w:sz="4" w:space="0" w:color="auto"/>
              <w:bottom w:val="single" w:sz="4" w:space="0" w:color="auto"/>
              <w:right w:val="single" w:sz="4" w:space="0" w:color="auto"/>
            </w:tcBorders>
            <w:shd w:val="clear" w:color="000000" w:fill="E7E6E6"/>
            <w:noWrap/>
            <w:vAlign w:val="bottom"/>
            <w:hideMark/>
          </w:tcPr>
          <w:p w14:paraId="4C56686F" w14:textId="77777777" w:rsidR="00527158" w:rsidRPr="00EF768C" w:rsidRDefault="00D77DFF" w:rsidP="00462410">
            <w:pPr>
              <w:jc w:val="both"/>
              <w:rPr>
                <w:sz w:val="18"/>
                <w:szCs w:val="18"/>
              </w:rPr>
            </w:pPr>
            <w:r w:rsidRPr="00EF768C">
              <w:rPr>
                <w:sz w:val="18"/>
                <w:szCs w:val="18"/>
              </w:rPr>
              <w:t> </w:t>
            </w:r>
          </w:p>
        </w:tc>
        <w:tc>
          <w:tcPr>
            <w:tcW w:w="1040" w:type="dxa"/>
            <w:tcBorders>
              <w:top w:val="nil"/>
              <w:left w:val="nil"/>
              <w:bottom w:val="single" w:sz="4" w:space="0" w:color="auto"/>
              <w:right w:val="single" w:sz="4" w:space="0" w:color="auto"/>
            </w:tcBorders>
            <w:shd w:val="clear" w:color="000000" w:fill="E7E6E6"/>
            <w:noWrap/>
            <w:vAlign w:val="bottom"/>
            <w:hideMark/>
          </w:tcPr>
          <w:p w14:paraId="29F14BE2" w14:textId="77777777" w:rsidR="00527158" w:rsidRPr="00EF768C" w:rsidRDefault="00D77DFF" w:rsidP="00462410">
            <w:pPr>
              <w:jc w:val="both"/>
              <w:rPr>
                <w:sz w:val="18"/>
                <w:szCs w:val="18"/>
              </w:rPr>
            </w:pPr>
            <w:r w:rsidRPr="00EF768C">
              <w:rPr>
                <w:sz w:val="18"/>
                <w:szCs w:val="18"/>
              </w:rPr>
              <w:t>Mělník</w:t>
            </w:r>
          </w:p>
        </w:tc>
        <w:tc>
          <w:tcPr>
            <w:tcW w:w="1773" w:type="dxa"/>
            <w:tcBorders>
              <w:top w:val="nil"/>
              <w:left w:val="nil"/>
              <w:bottom w:val="single" w:sz="4" w:space="0" w:color="auto"/>
              <w:right w:val="single" w:sz="4" w:space="0" w:color="auto"/>
            </w:tcBorders>
            <w:shd w:val="clear" w:color="000000" w:fill="E7E6E6"/>
            <w:noWrap/>
            <w:vAlign w:val="bottom"/>
            <w:hideMark/>
          </w:tcPr>
          <w:p w14:paraId="28F8E39C" w14:textId="77777777" w:rsidR="00527158" w:rsidRPr="00EF768C" w:rsidRDefault="00D77DFF" w:rsidP="00462410">
            <w:pPr>
              <w:jc w:val="both"/>
              <w:rPr>
                <w:sz w:val="18"/>
                <w:szCs w:val="18"/>
              </w:rPr>
            </w:pPr>
            <w:r w:rsidRPr="00EF768C">
              <w:rPr>
                <w:sz w:val="18"/>
                <w:szCs w:val="18"/>
              </w:rPr>
              <w:t> </w:t>
            </w:r>
          </w:p>
        </w:tc>
        <w:tc>
          <w:tcPr>
            <w:tcW w:w="1129" w:type="dxa"/>
            <w:tcBorders>
              <w:top w:val="nil"/>
              <w:left w:val="nil"/>
              <w:bottom w:val="single" w:sz="4" w:space="0" w:color="auto"/>
              <w:right w:val="single" w:sz="4" w:space="0" w:color="auto"/>
            </w:tcBorders>
            <w:shd w:val="clear" w:color="000000" w:fill="E7E6E6"/>
            <w:noWrap/>
            <w:vAlign w:val="bottom"/>
            <w:hideMark/>
          </w:tcPr>
          <w:p w14:paraId="6F40AE96" w14:textId="77777777" w:rsidR="00527158" w:rsidRPr="00EF768C" w:rsidRDefault="00D77DFF" w:rsidP="00462410">
            <w:pPr>
              <w:jc w:val="both"/>
              <w:rPr>
                <w:sz w:val="18"/>
                <w:szCs w:val="18"/>
              </w:rPr>
            </w:pPr>
            <w:r w:rsidRPr="00EF768C">
              <w:rPr>
                <w:sz w:val="18"/>
                <w:szCs w:val="18"/>
              </w:rPr>
              <w:t> </w:t>
            </w:r>
          </w:p>
        </w:tc>
        <w:tc>
          <w:tcPr>
            <w:tcW w:w="1129" w:type="dxa"/>
            <w:tcBorders>
              <w:top w:val="nil"/>
              <w:left w:val="nil"/>
              <w:bottom w:val="single" w:sz="4" w:space="0" w:color="auto"/>
              <w:right w:val="single" w:sz="4" w:space="0" w:color="auto"/>
            </w:tcBorders>
            <w:shd w:val="clear" w:color="000000" w:fill="E7E6E6"/>
            <w:noWrap/>
            <w:vAlign w:val="bottom"/>
            <w:hideMark/>
          </w:tcPr>
          <w:p w14:paraId="1F76A54F" w14:textId="77777777" w:rsidR="00527158" w:rsidRPr="00EF768C" w:rsidRDefault="00D77DFF" w:rsidP="00462410">
            <w:pPr>
              <w:jc w:val="both"/>
              <w:rPr>
                <w:sz w:val="18"/>
                <w:szCs w:val="18"/>
              </w:rPr>
            </w:pPr>
            <w:r w:rsidRPr="00EF768C">
              <w:rPr>
                <w:sz w:val="18"/>
                <w:szCs w:val="18"/>
              </w:rPr>
              <w:t>25</w:t>
            </w:r>
          </w:p>
        </w:tc>
        <w:tc>
          <w:tcPr>
            <w:tcW w:w="1131" w:type="dxa"/>
            <w:tcBorders>
              <w:top w:val="nil"/>
              <w:left w:val="nil"/>
              <w:bottom w:val="single" w:sz="4" w:space="0" w:color="auto"/>
              <w:right w:val="single" w:sz="4" w:space="0" w:color="auto"/>
            </w:tcBorders>
            <w:shd w:val="clear" w:color="000000" w:fill="E7E6E6"/>
            <w:noWrap/>
            <w:vAlign w:val="bottom"/>
            <w:hideMark/>
          </w:tcPr>
          <w:p w14:paraId="25B08212" w14:textId="77777777" w:rsidR="00527158" w:rsidRPr="00EF768C" w:rsidRDefault="00D77DFF" w:rsidP="00462410">
            <w:pPr>
              <w:jc w:val="both"/>
              <w:rPr>
                <w:sz w:val="18"/>
                <w:szCs w:val="18"/>
              </w:rPr>
            </w:pPr>
            <w:r w:rsidRPr="00EF768C">
              <w:rPr>
                <w:sz w:val="18"/>
                <w:szCs w:val="18"/>
              </w:rPr>
              <w:t>25</w:t>
            </w:r>
          </w:p>
        </w:tc>
        <w:tc>
          <w:tcPr>
            <w:tcW w:w="1159" w:type="dxa"/>
            <w:tcBorders>
              <w:top w:val="nil"/>
              <w:left w:val="double" w:sz="6" w:space="0" w:color="auto"/>
              <w:bottom w:val="single" w:sz="4" w:space="0" w:color="auto"/>
              <w:right w:val="single" w:sz="4" w:space="0" w:color="auto"/>
            </w:tcBorders>
            <w:shd w:val="clear" w:color="000000" w:fill="F2F2F2"/>
            <w:noWrap/>
            <w:vAlign w:val="bottom"/>
            <w:hideMark/>
          </w:tcPr>
          <w:p w14:paraId="7F7AB31E" w14:textId="77777777" w:rsidR="00527158" w:rsidRPr="00EF768C" w:rsidRDefault="00D77DFF" w:rsidP="00462410">
            <w:pPr>
              <w:jc w:val="both"/>
              <w:rPr>
                <w:sz w:val="18"/>
                <w:szCs w:val="18"/>
              </w:rPr>
            </w:pPr>
            <w:r w:rsidRPr="00EF768C">
              <w:rPr>
                <w:sz w:val="18"/>
                <w:szCs w:val="18"/>
              </w:rPr>
              <w:t>20</w:t>
            </w:r>
          </w:p>
        </w:tc>
        <w:tc>
          <w:tcPr>
            <w:tcW w:w="1159" w:type="dxa"/>
            <w:tcBorders>
              <w:top w:val="nil"/>
              <w:left w:val="nil"/>
              <w:bottom w:val="single" w:sz="4" w:space="0" w:color="auto"/>
              <w:right w:val="single" w:sz="4" w:space="0" w:color="auto"/>
            </w:tcBorders>
            <w:shd w:val="clear" w:color="000000" w:fill="F2F2F2"/>
            <w:noWrap/>
            <w:vAlign w:val="bottom"/>
            <w:hideMark/>
          </w:tcPr>
          <w:p w14:paraId="21368A26" w14:textId="77777777" w:rsidR="00527158" w:rsidRPr="00EF768C" w:rsidRDefault="00D77DFF" w:rsidP="00462410">
            <w:pPr>
              <w:jc w:val="both"/>
              <w:rPr>
                <w:sz w:val="18"/>
                <w:szCs w:val="18"/>
              </w:rPr>
            </w:pPr>
            <w:r w:rsidRPr="00EF768C">
              <w:rPr>
                <w:sz w:val="18"/>
                <w:szCs w:val="18"/>
              </w:rPr>
              <w:t>10</w:t>
            </w:r>
          </w:p>
        </w:tc>
      </w:tr>
      <w:tr w:rsidR="0046600D" w14:paraId="1EE68F5F" w14:textId="77777777" w:rsidTr="00527158">
        <w:trPr>
          <w:trHeight w:val="32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7CE83F40" w14:textId="77777777" w:rsidR="00527158" w:rsidRPr="00EF768C" w:rsidRDefault="00D77DFF" w:rsidP="00462410">
            <w:pPr>
              <w:jc w:val="both"/>
              <w:rPr>
                <w:sz w:val="18"/>
                <w:szCs w:val="18"/>
              </w:rPr>
            </w:pPr>
            <w:r w:rsidRPr="00EF768C">
              <w:rPr>
                <w:sz w:val="18"/>
                <w:szCs w:val="18"/>
              </w:rPr>
              <w:t>NUTS 03</w:t>
            </w:r>
          </w:p>
        </w:tc>
        <w:tc>
          <w:tcPr>
            <w:tcW w:w="1040" w:type="dxa"/>
            <w:tcBorders>
              <w:top w:val="nil"/>
              <w:left w:val="nil"/>
              <w:bottom w:val="single" w:sz="4" w:space="0" w:color="auto"/>
              <w:right w:val="single" w:sz="4" w:space="0" w:color="auto"/>
            </w:tcBorders>
            <w:shd w:val="clear" w:color="auto" w:fill="auto"/>
            <w:noWrap/>
            <w:vAlign w:val="bottom"/>
            <w:hideMark/>
          </w:tcPr>
          <w:p w14:paraId="74CF7EF2" w14:textId="77777777" w:rsidR="00527158" w:rsidRPr="00EF768C" w:rsidRDefault="00D77DFF" w:rsidP="00462410">
            <w:pPr>
              <w:jc w:val="both"/>
              <w:rPr>
                <w:sz w:val="18"/>
                <w:szCs w:val="18"/>
              </w:rPr>
            </w:pPr>
            <w:r w:rsidRPr="00EF768C">
              <w:rPr>
                <w:sz w:val="18"/>
                <w:szCs w:val="18"/>
              </w:rPr>
              <w:t>P a CB</w:t>
            </w:r>
          </w:p>
        </w:tc>
        <w:tc>
          <w:tcPr>
            <w:tcW w:w="1773" w:type="dxa"/>
            <w:tcBorders>
              <w:top w:val="nil"/>
              <w:left w:val="nil"/>
              <w:bottom w:val="single" w:sz="4" w:space="0" w:color="auto"/>
              <w:right w:val="single" w:sz="4" w:space="0" w:color="auto"/>
            </w:tcBorders>
            <w:shd w:val="clear" w:color="auto" w:fill="auto"/>
            <w:noWrap/>
            <w:vAlign w:val="bottom"/>
            <w:hideMark/>
          </w:tcPr>
          <w:p w14:paraId="5745FE20" w14:textId="77777777" w:rsidR="00527158" w:rsidRPr="00EF768C" w:rsidRDefault="00D77DFF" w:rsidP="00462410">
            <w:pPr>
              <w:jc w:val="both"/>
              <w:rPr>
                <w:sz w:val="18"/>
                <w:szCs w:val="18"/>
              </w:rPr>
            </w:pPr>
            <w:r w:rsidRPr="00EF768C">
              <w:rPr>
                <w:sz w:val="18"/>
                <w:szCs w:val="18"/>
              </w:rPr>
              <w:t>Jihozápad**</w:t>
            </w:r>
          </w:p>
        </w:tc>
        <w:tc>
          <w:tcPr>
            <w:tcW w:w="1129" w:type="dxa"/>
            <w:tcBorders>
              <w:top w:val="nil"/>
              <w:left w:val="nil"/>
              <w:bottom w:val="single" w:sz="4" w:space="0" w:color="auto"/>
              <w:right w:val="single" w:sz="4" w:space="0" w:color="auto"/>
            </w:tcBorders>
            <w:shd w:val="clear" w:color="auto" w:fill="auto"/>
            <w:noWrap/>
            <w:vAlign w:val="bottom"/>
            <w:hideMark/>
          </w:tcPr>
          <w:p w14:paraId="33330757" w14:textId="77777777" w:rsidR="00527158" w:rsidRPr="00EF768C" w:rsidRDefault="00D77DFF" w:rsidP="00462410">
            <w:pPr>
              <w:jc w:val="both"/>
              <w:rPr>
                <w:sz w:val="18"/>
                <w:szCs w:val="18"/>
              </w:rPr>
            </w:pPr>
            <w:r w:rsidRPr="00EF768C">
              <w:rPr>
                <w:sz w:val="18"/>
                <w:szCs w:val="18"/>
              </w:rPr>
              <w:t>25</w:t>
            </w:r>
          </w:p>
        </w:tc>
        <w:tc>
          <w:tcPr>
            <w:tcW w:w="1129" w:type="dxa"/>
            <w:tcBorders>
              <w:top w:val="nil"/>
              <w:left w:val="nil"/>
              <w:bottom w:val="single" w:sz="4" w:space="0" w:color="auto"/>
              <w:right w:val="single" w:sz="4" w:space="0" w:color="auto"/>
            </w:tcBorders>
            <w:shd w:val="clear" w:color="auto" w:fill="auto"/>
            <w:noWrap/>
            <w:vAlign w:val="bottom"/>
            <w:hideMark/>
          </w:tcPr>
          <w:p w14:paraId="47AD55CB" w14:textId="77777777" w:rsidR="00527158" w:rsidRPr="00EF768C" w:rsidRDefault="00D77DFF" w:rsidP="00462410">
            <w:pPr>
              <w:jc w:val="both"/>
              <w:rPr>
                <w:sz w:val="18"/>
                <w:szCs w:val="18"/>
              </w:rPr>
            </w:pPr>
            <w:r w:rsidRPr="00EF768C">
              <w:rPr>
                <w:sz w:val="18"/>
                <w:szCs w:val="18"/>
              </w:rPr>
              <w:t>20</w:t>
            </w:r>
          </w:p>
        </w:tc>
        <w:tc>
          <w:tcPr>
            <w:tcW w:w="1131" w:type="dxa"/>
            <w:tcBorders>
              <w:top w:val="nil"/>
              <w:left w:val="nil"/>
              <w:bottom w:val="single" w:sz="4" w:space="0" w:color="auto"/>
              <w:right w:val="nil"/>
            </w:tcBorders>
            <w:shd w:val="clear" w:color="auto" w:fill="auto"/>
            <w:noWrap/>
            <w:vAlign w:val="bottom"/>
            <w:hideMark/>
          </w:tcPr>
          <w:p w14:paraId="5FC127A2" w14:textId="77777777" w:rsidR="00527158" w:rsidRPr="00EF768C" w:rsidRDefault="00D77DFF" w:rsidP="00462410">
            <w:pPr>
              <w:jc w:val="both"/>
              <w:rPr>
                <w:sz w:val="18"/>
                <w:szCs w:val="18"/>
              </w:rPr>
            </w:pPr>
            <w:r w:rsidRPr="00EF768C">
              <w:rPr>
                <w:sz w:val="18"/>
                <w:szCs w:val="18"/>
              </w:rPr>
              <w:t>15</w:t>
            </w:r>
          </w:p>
        </w:tc>
        <w:tc>
          <w:tcPr>
            <w:tcW w:w="1159" w:type="dxa"/>
            <w:tcBorders>
              <w:top w:val="nil"/>
              <w:left w:val="double" w:sz="6" w:space="0" w:color="auto"/>
              <w:bottom w:val="single" w:sz="4" w:space="0" w:color="auto"/>
              <w:right w:val="single" w:sz="4" w:space="0" w:color="auto"/>
            </w:tcBorders>
            <w:shd w:val="clear" w:color="000000" w:fill="F2F2F2"/>
            <w:noWrap/>
            <w:vAlign w:val="bottom"/>
            <w:hideMark/>
          </w:tcPr>
          <w:p w14:paraId="101A585B" w14:textId="77777777" w:rsidR="00527158" w:rsidRPr="00EF768C" w:rsidRDefault="00D77DFF" w:rsidP="00462410">
            <w:pPr>
              <w:jc w:val="both"/>
              <w:rPr>
                <w:sz w:val="18"/>
                <w:szCs w:val="18"/>
              </w:rPr>
            </w:pPr>
            <w:r w:rsidRPr="00EF768C">
              <w:rPr>
                <w:sz w:val="18"/>
                <w:szCs w:val="18"/>
              </w:rPr>
              <w:t>20</w:t>
            </w:r>
          </w:p>
        </w:tc>
        <w:tc>
          <w:tcPr>
            <w:tcW w:w="1159" w:type="dxa"/>
            <w:tcBorders>
              <w:top w:val="nil"/>
              <w:left w:val="nil"/>
              <w:bottom w:val="single" w:sz="4" w:space="0" w:color="auto"/>
              <w:right w:val="single" w:sz="4" w:space="0" w:color="auto"/>
            </w:tcBorders>
            <w:shd w:val="clear" w:color="000000" w:fill="F2F2F2"/>
            <w:noWrap/>
            <w:vAlign w:val="bottom"/>
            <w:hideMark/>
          </w:tcPr>
          <w:p w14:paraId="5DBC611D" w14:textId="77777777" w:rsidR="00527158" w:rsidRPr="00EF768C" w:rsidRDefault="00D77DFF" w:rsidP="00462410">
            <w:pPr>
              <w:jc w:val="both"/>
              <w:rPr>
                <w:sz w:val="18"/>
                <w:szCs w:val="18"/>
              </w:rPr>
            </w:pPr>
            <w:r w:rsidRPr="00EF768C">
              <w:rPr>
                <w:sz w:val="18"/>
                <w:szCs w:val="18"/>
              </w:rPr>
              <w:t>10</w:t>
            </w:r>
          </w:p>
        </w:tc>
      </w:tr>
      <w:tr w:rsidR="0046600D" w14:paraId="1781C58E" w14:textId="77777777" w:rsidTr="00527158">
        <w:trPr>
          <w:trHeight w:val="320"/>
        </w:trPr>
        <w:tc>
          <w:tcPr>
            <w:tcW w:w="797" w:type="dxa"/>
            <w:tcBorders>
              <w:top w:val="nil"/>
              <w:left w:val="single" w:sz="4" w:space="0" w:color="auto"/>
              <w:bottom w:val="single" w:sz="4" w:space="0" w:color="auto"/>
              <w:right w:val="single" w:sz="4" w:space="0" w:color="auto"/>
            </w:tcBorders>
            <w:shd w:val="clear" w:color="000000" w:fill="E7E6E6"/>
            <w:noWrap/>
            <w:vAlign w:val="bottom"/>
            <w:hideMark/>
          </w:tcPr>
          <w:p w14:paraId="0E16F054" w14:textId="77777777" w:rsidR="00527158" w:rsidRPr="00EF768C" w:rsidRDefault="00D77DFF" w:rsidP="00462410">
            <w:pPr>
              <w:jc w:val="both"/>
              <w:rPr>
                <w:sz w:val="18"/>
                <w:szCs w:val="18"/>
              </w:rPr>
            </w:pPr>
            <w:r w:rsidRPr="00EF768C">
              <w:rPr>
                <w:sz w:val="18"/>
                <w:szCs w:val="18"/>
              </w:rPr>
              <w:t> </w:t>
            </w:r>
          </w:p>
        </w:tc>
        <w:tc>
          <w:tcPr>
            <w:tcW w:w="1040" w:type="dxa"/>
            <w:tcBorders>
              <w:top w:val="nil"/>
              <w:left w:val="nil"/>
              <w:bottom w:val="single" w:sz="4" w:space="0" w:color="auto"/>
              <w:right w:val="single" w:sz="4" w:space="0" w:color="auto"/>
            </w:tcBorders>
            <w:shd w:val="clear" w:color="000000" w:fill="E7E6E6"/>
            <w:noWrap/>
            <w:vAlign w:val="bottom"/>
            <w:hideMark/>
          </w:tcPr>
          <w:p w14:paraId="210E7E90" w14:textId="77777777" w:rsidR="00527158" w:rsidRPr="00EF768C" w:rsidRDefault="00D77DFF" w:rsidP="00462410">
            <w:pPr>
              <w:jc w:val="both"/>
              <w:rPr>
                <w:sz w:val="18"/>
                <w:szCs w:val="18"/>
              </w:rPr>
            </w:pPr>
            <w:r w:rsidRPr="00EF768C">
              <w:rPr>
                <w:sz w:val="18"/>
                <w:szCs w:val="18"/>
              </w:rPr>
              <w:t>Tachov</w:t>
            </w:r>
          </w:p>
        </w:tc>
        <w:tc>
          <w:tcPr>
            <w:tcW w:w="1773" w:type="dxa"/>
            <w:tcBorders>
              <w:top w:val="nil"/>
              <w:left w:val="nil"/>
              <w:bottom w:val="single" w:sz="4" w:space="0" w:color="auto"/>
              <w:right w:val="single" w:sz="4" w:space="0" w:color="auto"/>
            </w:tcBorders>
            <w:shd w:val="clear" w:color="000000" w:fill="E7E6E6"/>
            <w:noWrap/>
            <w:vAlign w:val="bottom"/>
            <w:hideMark/>
          </w:tcPr>
          <w:p w14:paraId="441A2F0E" w14:textId="77777777" w:rsidR="00527158" w:rsidRPr="00EF768C" w:rsidRDefault="00D77DFF" w:rsidP="00462410">
            <w:pPr>
              <w:jc w:val="both"/>
              <w:rPr>
                <w:sz w:val="18"/>
                <w:szCs w:val="18"/>
              </w:rPr>
            </w:pPr>
            <w:r w:rsidRPr="00EF768C">
              <w:rPr>
                <w:sz w:val="18"/>
                <w:szCs w:val="18"/>
              </w:rPr>
              <w:t> </w:t>
            </w:r>
          </w:p>
        </w:tc>
        <w:tc>
          <w:tcPr>
            <w:tcW w:w="1129" w:type="dxa"/>
            <w:tcBorders>
              <w:top w:val="nil"/>
              <w:left w:val="nil"/>
              <w:bottom w:val="single" w:sz="4" w:space="0" w:color="auto"/>
              <w:right w:val="single" w:sz="4" w:space="0" w:color="auto"/>
            </w:tcBorders>
            <w:shd w:val="clear" w:color="000000" w:fill="E7E6E6"/>
            <w:noWrap/>
            <w:vAlign w:val="bottom"/>
            <w:hideMark/>
          </w:tcPr>
          <w:p w14:paraId="3B8C16A2" w14:textId="77777777" w:rsidR="00527158" w:rsidRPr="00EF768C" w:rsidRDefault="00D77DFF" w:rsidP="00462410">
            <w:pPr>
              <w:jc w:val="both"/>
              <w:rPr>
                <w:sz w:val="18"/>
                <w:szCs w:val="18"/>
              </w:rPr>
            </w:pPr>
            <w:r w:rsidRPr="00EF768C">
              <w:rPr>
                <w:sz w:val="18"/>
                <w:szCs w:val="18"/>
              </w:rPr>
              <w:t> </w:t>
            </w:r>
          </w:p>
        </w:tc>
        <w:tc>
          <w:tcPr>
            <w:tcW w:w="1129" w:type="dxa"/>
            <w:tcBorders>
              <w:top w:val="nil"/>
              <w:left w:val="nil"/>
              <w:bottom w:val="single" w:sz="4" w:space="0" w:color="auto"/>
              <w:right w:val="single" w:sz="4" w:space="0" w:color="auto"/>
            </w:tcBorders>
            <w:shd w:val="clear" w:color="000000" w:fill="E7E6E6"/>
            <w:noWrap/>
            <w:vAlign w:val="bottom"/>
            <w:hideMark/>
          </w:tcPr>
          <w:p w14:paraId="084D29EF" w14:textId="77777777" w:rsidR="00527158" w:rsidRPr="00EF768C" w:rsidRDefault="00D77DFF" w:rsidP="00462410">
            <w:pPr>
              <w:jc w:val="both"/>
              <w:rPr>
                <w:sz w:val="18"/>
                <w:szCs w:val="18"/>
              </w:rPr>
            </w:pPr>
            <w:r w:rsidRPr="00EF768C">
              <w:rPr>
                <w:sz w:val="18"/>
                <w:szCs w:val="18"/>
              </w:rPr>
              <w:t>25</w:t>
            </w:r>
          </w:p>
        </w:tc>
        <w:tc>
          <w:tcPr>
            <w:tcW w:w="1131" w:type="dxa"/>
            <w:tcBorders>
              <w:top w:val="nil"/>
              <w:left w:val="nil"/>
              <w:bottom w:val="single" w:sz="4" w:space="0" w:color="auto"/>
              <w:right w:val="single" w:sz="4" w:space="0" w:color="auto"/>
            </w:tcBorders>
            <w:shd w:val="clear" w:color="000000" w:fill="E7E6E6"/>
            <w:noWrap/>
            <w:vAlign w:val="bottom"/>
            <w:hideMark/>
          </w:tcPr>
          <w:p w14:paraId="134E6A94" w14:textId="77777777" w:rsidR="00527158" w:rsidRPr="00EF768C" w:rsidRDefault="00D77DFF" w:rsidP="00462410">
            <w:pPr>
              <w:jc w:val="both"/>
              <w:rPr>
                <w:sz w:val="18"/>
                <w:szCs w:val="18"/>
              </w:rPr>
            </w:pPr>
            <w:r w:rsidRPr="00EF768C">
              <w:rPr>
                <w:sz w:val="18"/>
                <w:szCs w:val="18"/>
              </w:rPr>
              <w:t>25</w:t>
            </w:r>
          </w:p>
        </w:tc>
        <w:tc>
          <w:tcPr>
            <w:tcW w:w="1159" w:type="dxa"/>
            <w:tcBorders>
              <w:top w:val="nil"/>
              <w:left w:val="double" w:sz="6" w:space="0" w:color="auto"/>
              <w:bottom w:val="single" w:sz="4" w:space="0" w:color="auto"/>
              <w:right w:val="single" w:sz="4" w:space="0" w:color="auto"/>
            </w:tcBorders>
            <w:shd w:val="clear" w:color="000000" w:fill="F2F2F2"/>
            <w:noWrap/>
            <w:vAlign w:val="bottom"/>
            <w:hideMark/>
          </w:tcPr>
          <w:p w14:paraId="425B5E72" w14:textId="77777777" w:rsidR="00527158" w:rsidRPr="00EF768C" w:rsidRDefault="00D77DFF" w:rsidP="00462410">
            <w:pPr>
              <w:jc w:val="both"/>
              <w:rPr>
                <w:sz w:val="18"/>
                <w:szCs w:val="18"/>
              </w:rPr>
            </w:pPr>
            <w:r w:rsidRPr="00EF768C">
              <w:rPr>
                <w:sz w:val="18"/>
                <w:szCs w:val="18"/>
              </w:rPr>
              <w:t>20</w:t>
            </w:r>
          </w:p>
        </w:tc>
        <w:tc>
          <w:tcPr>
            <w:tcW w:w="1159" w:type="dxa"/>
            <w:tcBorders>
              <w:top w:val="nil"/>
              <w:left w:val="nil"/>
              <w:bottom w:val="single" w:sz="4" w:space="0" w:color="auto"/>
              <w:right w:val="single" w:sz="4" w:space="0" w:color="auto"/>
            </w:tcBorders>
            <w:shd w:val="clear" w:color="000000" w:fill="F2F2F2"/>
            <w:noWrap/>
            <w:vAlign w:val="bottom"/>
            <w:hideMark/>
          </w:tcPr>
          <w:p w14:paraId="46431B79" w14:textId="77777777" w:rsidR="00527158" w:rsidRPr="00EF768C" w:rsidRDefault="00D77DFF" w:rsidP="00462410">
            <w:pPr>
              <w:jc w:val="both"/>
              <w:rPr>
                <w:sz w:val="18"/>
                <w:szCs w:val="18"/>
              </w:rPr>
            </w:pPr>
            <w:r w:rsidRPr="00EF768C">
              <w:rPr>
                <w:sz w:val="18"/>
                <w:szCs w:val="18"/>
              </w:rPr>
              <w:t>10</w:t>
            </w:r>
          </w:p>
        </w:tc>
      </w:tr>
      <w:tr w:rsidR="0046600D" w14:paraId="17F6DD14" w14:textId="77777777" w:rsidTr="00527158">
        <w:trPr>
          <w:trHeight w:val="320"/>
        </w:trPr>
        <w:tc>
          <w:tcPr>
            <w:tcW w:w="797" w:type="dxa"/>
            <w:tcBorders>
              <w:top w:val="nil"/>
              <w:left w:val="single" w:sz="4" w:space="0" w:color="auto"/>
              <w:bottom w:val="single" w:sz="4" w:space="0" w:color="auto"/>
              <w:right w:val="single" w:sz="4" w:space="0" w:color="auto"/>
            </w:tcBorders>
            <w:shd w:val="clear" w:color="000000" w:fill="E7E6E6"/>
            <w:noWrap/>
            <w:vAlign w:val="bottom"/>
            <w:hideMark/>
          </w:tcPr>
          <w:p w14:paraId="68848ED5" w14:textId="77777777" w:rsidR="00527158" w:rsidRPr="00EF768C" w:rsidRDefault="00D77DFF" w:rsidP="00462410">
            <w:pPr>
              <w:jc w:val="both"/>
              <w:rPr>
                <w:sz w:val="18"/>
                <w:szCs w:val="18"/>
              </w:rPr>
            </w:pPr>
            <w:r w:rsidRPr="00EF768C">
              <w:rPr>
                <w:sz w:val="18"/>
                <w:szCs w:val="18"/>
              </w:rPr>
              <w:t> </w:t>
            </w:r>
          </w:p>
        </w:tc>
        <w:tc>
          <w:tcPr>
            <w:tcW w:w="1040" w:type="dxa"/>
            <w:tcBorders>
              <w:top w:val="nil"/>
              <w:left w:val="nil"/>
              <w:bottom w:val="single" w:sz="4" w:space="0" w:color="auto"/>
              <w:right w:val="single" w:sz="4" w:space="0" w:color="auto"/>
            </w:tcBorders>
            <w:shd w:val="clear" w:color="000000" w:fill="E7E6E6"/>
            <w:noWrap/>
            <w:vAlign w:val="bottom"/>
            <w:hideMark/>
          </w:tcPr>
          <w:p w14:paraId="40686EB3" w14:textId="77777777" w:rsidR="00527158" w:rsidRPr="00EF768C" w:rsidRDefault="00D77DFF" w:rsidP="00462410">
            <w:pPr>
              <w:jc w:val="both"/>
              <w:rPr>
                <w:sz w:val="18"/>
                <w:szCs w:val="18"/>
              </w:rPr>
            </w:pPr>
            <w:r w:rsidRPr="00EF768C">
              <w:rPr>
                <w:sz w:val="18"/>
                <w:szCs w:val="18"/>
              </w:rPr>
              <w:t>Plzeň sever</w:t>
            </w:r>
          </w:p>
        </w:tc>
        <w:tc>
          <w:tcPr>
            <w:tcW w:w="1773" w:type="dxa"/>
            <w:tcBorders>
              <w:top w:val="nil"/>
              <w:left w:val="nil"/>
              <w:bottom w:val="single" w:sz="4" w:space="0" w:color="auto"/>
              <w:right w:val="single" w:sz="4" w:space="0" w:color="auto"/>
            </w:tcBorders>
            <w:shd w:val="clear" w:color="000000" w:fill="E7E6E6"/>
            <w:noWrap/>
            <w:vAlign w:val="bottom"/>
            <w:hideMark/>
          </w:tcPr>
          <w:p w14:paraId="016BA365" w14:textId="77777777" w:rsidR="00527158" w:rsidRPr="00EF768C" w:rsidRDefault="00D77DFF" w:rsidP="00462410">
            <w:pPr>
              <w:jc w:val="both"/>
              <w:rPr>
                <w:sz w:val="18"/>
                <w:szCs w:val="18"/>
              </w:rPr>
            </w:pPr>
            <w:r w:rsidRPr="00EF768C">
              <w:rPr>
                <w:sz w:val="18"/>
                <w:szCs w:val="18"/>
              </w:rPr>
              <w:t> </w:t>
            </w:r>
          </w:p>
        </w:tc>
        <w:tc>
          <w:tcPr>
            <w:tcW w:w="1129" w:type="dxa"/>
            <w:tcBorders>
              <w:top w:val="nil"/>
              <w:left w:val="nil"/>
              <w:bottom w:val="single" w:sz="4" w:space="0" w:color="auto"/>
              <w:right w:val="single" w:sz="4" w:space="0" w:color="auto"/>
            </w:tcBorders>
            <w:shd w:val="clear" w:color="000000" w:fill="E7E6E6"/>
            <w:noWrap/>
            <w:vAlign w:val="bottom"/>
            <w:hideMark/>
          </w:tcPr>
          <w:p w14:paraId="19680F6B" w14:textId="77777777" w:rsidR="00527158" w:rsidRPr="00EF768C" w:rsidRDefault="00D77DFF" w:rsidP="00462410">
            <w:pPr>
              <w:jc w:val="both"/>
              <w:rPr>
                <w:sz w:val="18"/>
                <w:szCs w:val="18"/>
              </w:rPr>
            </w:pPr>
            <w:r w:rsidRPr="00EF768C">
              <w:rPr>
                <w:sz w:val="18"/>
                <w:szCs w:val="18"/>
              </w:rPr>
              <w:t> </w:t>
            </w:r>
          </w:p>
        </w:tc>
        <w:tc>
          <w:tcPr>
            <w:tcW w:w="1129" w:type="dxa"/>
            <w:tcBorders>
              <w:top w:val="nil"/>
              <w:left w:val="nil"/>
              <w:bottom w:val="single" w:sz="4" w:space="0" w:color="auto"/>
              <w:right w:val="single" w:sz="4" w:space="0" w:color="auto"/>
            </w:tcBorders>
            <w:shd w:val="clear" w:color="000000" w:fill="E7E6E6"/>
            <w:noWrap/>
            <w:vAlign w:val="bottom"/>
            <w:hideMark/>
          </w:tcPr>
          <w:p w14:paraId="4824386A" w14:textId="77777777" w:rsidR="00527158" w:rsidRPr="00EF768C" w:rsidRDefault="00D77DFF" w:rsidP="00462410">
            <w:pPr>
              <w:jc w:val="both"/>
              <w:rPr>
                <w:sz w:val="18"/>
                <w:szCs w:val="18"/>
              </w:rPr>
            </w:pPr>
            <w:r w:rsidRPr="00EF768C">
              <w:rPr>
                <w:sz w:val="18"/>
                <w:szCs w:val="18"/>
              </w:rPr>
              <w:t>25</w:t>
            </w:r>
          </w:p>
        </w:tc>
        <w:tc>
          <w:tcPr>
            <w:tcW w:w="1131" w:type="dxa"/>
            <w:tcBorders>
              <w:top w:val="nil"/>
              <w:left w:val="nil"/>
              <w:bottom w:val="single" w:sz="4" w:space="0" w:color="auto"/>
              <w:right w:val="single" w:sz="4" w:space="0" w:color="auto"/>
            </w:tcBorders>
            <w:shd w:val="clear" w:color="000000" w:fill="E7E6E6"/>
            <w:noWrap/>
            <w:vAlign w:val="bottom"/>
            <w:hideMark/>
          </w:tcPr>
          <w:p w14:paraId="309516DC" w14:textId="77777777" w:rsidR="00527158" w:rsidRPr="00EF768C" w:rsidRDefault="00D77DFF" w:rsidP="00462410">
            <w:pPr>
              <w:jc w:val="both"/>
              <w:rPr>
                <w:sz w:val="18"/>
                <w:szCs w:val="18"/>
              </w:rPr>
            </w:pPr>
            <w:r w:rsidRPr="00EF768C">
              <w:rPr>
                <w:sz w:val="18"/>
                <w:szCs w:val="18"/>
              </w:rPr>
              <w:t>25</w:t>
            </w:r>
          </w:p>
        </w:tc>
        <w:tc>
          <w:tcPr>
            <w:tcW w:w="1159" w:type="dxa"/>
            <w:tcBorders>
              <w:top w:val="nil"/>
              <w:left w:val="double" w:sz="6" w:space="0" w:color="auto"/>
              <w:bottom w:val="single" w:sz="4" w:space="0" w:color="auto"/>
              <w:right w:val="single" w:sz="4" w:space="0" w:color="auto"/>
            </w:tcBorders>
            <w:shd w:val="clear" w:color="000000" w:fill="F2F2F2"/>
            <w:noWrap/>
            <w:vAlign w:val="bottom"/>
            <w:hideMark/>
          </w:tcPr>
          <w:p w14:paraId="629AB7B5" w14:textId="77777777" w:rsidR="00527158" w:rsidRPr="00EF768C" w:rsidRDefault="00D77DFF" w:rsidP="00462410">
            <w:pPr>
              <w:jc w:val="both"/>
              <w:rPr>
                <w:sz w:val="18"/>
                <w:szCs w:val="18"/>
              </w:rPr>
            </w:pPr>
            <w:r w:rsidRPr="00EF768C">
              <w:rPr>
                <w:sz w:val="18"/>
                <w:szCs w:val="18"/>
              </w:rPr>
              <w:t>20</w:t>
            </w:r>
          </w:p>
        </w:tc>
        <w:tc>
          <w:tcPr>
            <w:tcW w:w="1159" w:type="dxa"/>
            <w:tcBorders>
              <w:top w:val="nil"/>
              <w:left w:val="nil"/>
              <w:bottom w:val="single" w:sz="4" w:space="0" w:color="auto"/>
              <w:right w:val="single" w:sz="4" w:space="0" w:color="auto"/>
            </w:tcBorders>
            <w:shd w:val="clear" w:color="000000" w:fill="F2F2F2"/>
            <w:noWrap/>
            <w:vAlign w:val="bottom"/>
            <w:hideMark/>
          </w:tcPr>
          <w:p w14:paraId="64868706" w14:textId="77777777" w:rsidR="00527158" w:rsidRPr="00EF768C" w:rsidRDefault="00D77DFF" w:rsidP="00462410">
            <w:pPr>
              <w:jc w:val="both"/>
              <w:rPr>
                <w:sz w:val="18"/>
                <w:szCs w:val="18"/>
              </w:rPr>
            </w:pPr>
            <w:r w:rsidRPr="00EF768C">
              <w:rPr>
                <w:sz w:val="18"/>
                <w:szCs w:val="18"/>
              </w:rPr>
              <w:t>10</w:t>
            </w:r>
          </w:p>
        </w:tc>
      </w:tr>
      <w:tr w:rsidR="0046600D" w14:paraId="3C366D01" w14:textId="77777777" w:rsidTr="00527158">
        <w:trPr>
          <w:trHeight w:val="32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748C1151" w14:textId="77777777" w:rsidR="00527158" w:rsidRPr="00EF768C" w:rsidRDefault="00D77DFF" w:rsidP="00462410">
            <w:pPr>
              <w:jc w:val="both"/>
              <w:rPr>
                <w:sz w:val="18"/>
                <w:szCs w:val="18"/>
              </w:rPr>
            </w:pPr>
            <w:r w:rsidRPr="00EF768C">
              <w:rPr>
                <w:sz w:val="18"/>
                <w:szCs w:val="18"/>
              </w:rPr>
              <w:t>NUTS 04</w:t>
            </w:r>
          </w:p>
        </w:tc>
        <w:tc>
          <w:tcPr>
            <w:tcW w:w="1040" w:type="dxa"/>
            <w:tcBorders>
              <w:top w:val="nil"/>
              <w:left w:val="nil"/>
              <w:bottom w:val="single" w:sz="4" w:space="0" w:color="auto"/>
              <w:right w:val="single" w:sz="4" w:space="0" w:color="auto"/>
            </w:tcBorders>
            <w:shd w:val="clear" w:color="auto" w:fill="auto"/>
            <w:noWrap/>
            <w:vAlign w:val="bottom"/>
            <w:hideMark/>
          </w:tcPr>
          <w:p w14:paraId="3C815473" w14:textId="77777777" w:rsidR="00527158" w:rsidRPr="00EF768C" w:rsidRDefault="00D77DFF" w:rsidP="00462410">
            <w:pPr>
              <w:jc w:val="both"/>
              <w:rPr>
                <w:sz w:val="18"/>
                <w:szCs w:val="18"/>
              </w:rPr>
            </w:pPr>
            <w:r w:rsidRPr="00EF768C">
              <w:rPr>
                <w:sz w:val="18"/>
                <w:szCs w:val="18"/>
              </w:rPr>
              <w:t>U a KV</w:t>
            </w:r>
          </w:p>
        </w:tc>
        <w:tc>
          <w:tcPr>
            <w:tcW w:w="1773" w:type="dxa"/>
            <w:tcBorders>
              <w:top w:val="nil"/>
              <w:left w:val="nil"/>
              <w:bottom w:val="single" w:sz="4" w:space="0" w:color="auto"/>
              <w:right w:val="single" w:sz="4" w:space="0" w:color="auto"/>
            </w:tcBorders>
            <w:shd w:val="clear" w:color="auto" w:fill="auto"/>
            <w:noWrap/>
            <w:vAlign w:val="bottom"/>
            <w:hideMark/>
          </w:tcPr>
          <w:p w14:paraId="48919BB7" w14:textId="77777777" w:rsidR="00527158" w:rsidRPr="00EF768C" w:rsidRDefault="00D77DFF" w:rsidP="00462410">
            <w:pPr>
              <w:jc w:val="both"/>
              <w:rPr>
                <w:sz w:val="18"/>
                <w:szCs w:val="18"/>
              </w:rPr>
            </w:pPr>
            <w:r w:rsidRPr="00EF768C">
              <w:rPr>
                <w:sz w:val="18"/>
                <w:szCs w:val="18"/>
              </w:rPr>
              <w:t>Severozápad*</w:t>
            </w:r>
          </w:p>
        </w:tc>
        <w:tc>
          <w:tcPr>
            <w:tcW w:w="1129" w:type="dxa"/>
            <w:tcBorders>
              <w:top w:val="nil"/>
              <w:left w:val="nil"/>
              <w:bottom w:val="single" w:sz="4" w:space="0" w:color="auto"/>
              <w:right w:val="single" w:sz="4" w:space="0" w:color="auto"/>
            </w:tcBorders>
            <w:shd w:val="clear" w:color="auto" w:fill="auto"/>
            <w:noWrap/>
            <w:vAlign w:val="bottom"/>
            <w:hideMark/>
          </w:tcPr>
          <w:p w14:paraId="150F9074" w14:textId="77777777" w:rsidR="00527158" w:rsidRPr="00EF768C" w:rsidRDefault="00D77DFF" w:rsidP="00462410">
            <w:pPr>
              <w:jc w:val="both"/>
              <w:rPr>
                <w:sz w:val="18"/>
                <w:szCs w:val="18"/>
              </w:rPr>
            </w:pPr>
            <w:r w:rsidRPr="00EF768C">
              <w:rPr>
                <w:sz w:val="18"/>
                <w:szCs w:val="18"/>
              </w:rPr>
              <w:t>25</w:t>
            </w:r>
          </w:p>
        </w:tc>
        <w:tc>
          <w:tcPr>
            <w:tcW w:w="1129" w:type="dxa"/>
            <w:tcBorders>
              <w:top w:val="nil"/>
              <w:left w:val="nil"/>
              <w:bottom w:val="single" w:sz="4" w:space="0" w:color="auto"/>
              <w:right w:val="single" w:sz="4" w:space="0" w:color="auto"/>
            </w:tcBorders>
            <w:shd w:val="clear" w:color="auto" w:fill="auto"/>
            <w:noWrap/>
            <w:vAlign w:val="bottom"/>
            <w:hideMark/>
          </w:tcPr>
          <w:p w14:paraId="112564DF" w14:textId="77777777" w:rsidR="00527158" w:rsidRPr="00EF768C" w:rsidRDefault="00D77DFF" w:rsidP="00462410">
            <w:pPr>
              <w:jc w:val="both"/>
              <w:rPr>
                <w:sz w:val="18"/>
                <w:szCs w:val="18"/>
              </w:rPr>
            </w:pPr>
            <w:r w:rsidRPr="00EF768C">
              <w:rPr>
                <w:sz w:val="18"/>
                <w:szCs w:val="18"/>
              </w:rPr>
              <w:t>50</w:t>
            </w:r>
          </w:p>
        </w:tc>
        <w:tc>
          <w:tcPr>
            <w:tcW w:w="1131" w:type="dxa"/>
            <w:tcBorders>
              <w:top w:val="nil"/>
              <w:left w:val="nil"/>
              <w:bottom w:val="single" w:sz="4" w:space="0" w:color="auto"/>
              <w:right w:val="nil"/>
            </w:tcBorders>
            <w:shd w:val="clear" w:color="auto" w:fill="auto"/>
            <w:noWrap/>
            <w:vAlign w:val="bottom"/>
            <w:hideMark/>
          </w:tcPr>
          <w:p w14:paraId="629B715D" w14:textId="77777777" w:rsidR="00527158" w:rsidRPr="00EF768C" w:rsidRDefault="00D77DFF" w:rsidP="00462410">
            <w:pPr>
              <w:jc w:val="both"/>
              <w:rPr>
                <w:sz w:val="18"/>
                <w:szCs w:val="18"/>
              </w:rPr>
            </w:pPr>
            <w:r w:rsidRPr="00EF768C">
              <w:rPr>
                <w:sz w:val="18"/>
                <w:szCs w:val="18"/>
              </w:rPr>
              <w:t>50</w:t>
            </w:r>
          </w:p>
        </w:tc>
        <w:tc>
          <w:tcPr>
            <w:tcW w:w="1159" w:type="dxa"/>
            <w:tcBorders>
              <w:top w:val="nil"/>
              <w:left w:val="double" w:sz="6" w:space="0" w:color="auto"/>
              <w:bottom w:val="single" w:sz="4" w:space="0" w:color="auto"/>
              <w:right w:val="single" w:sz="4" w:space="0" w:color="auto"/>
            </w:tcBorders>
            <w:shd w:val="clear" w:color="000000" w:fill="F2F2F2"/>
            <w:noWrap/>
            <w:vAlign w:val="bottom"/>
            <w:hideMark/>
          </w:tcPr>
          <w:p w14:paraId="0058D907" w14:textId="77777777" w:rsidR="00527158" w:rsidRPr="00EF768C" w:rsidRDefault="00D77DFF" w:rsidP="00462410">
            <w:pPr>
              <w:jc w:val="both"/>
              <w:rPr>
                <w:sz w:val="18"/>
                <w:szCs w:val="18"/>
              </w:rPr>
            </w:pPr>
            <w:r w:rsidRPr="00EF768C">
              <w:rPr>
                <w:sz w:val="18"/>
                <w:szCs w:val="18"/>
              </w:rPr>
              <w:t>20</w:t>
            </w:r>
          </w:p>
        </w:tc>
        <w:tc>
          <w:tcPr>
            <w:tcW w:w="1159" w:type="dxa"/>
            <w:tcBorders>
              <w:top w:val="nil"/>
              <w:left w:val="nil"/>
              <w:bottom w:val="single" w:sz="4" w:space="0" w:color="auto"/>
              <w:right w:val="single" w:sz="4" w:space="0" w:color="auto"/>
            </w:tcBorders>
            <w:shd w:val="clear" w:color="000000" w:fill="F2F2F2"/>
            <w:noWrap/>
            <w:vAlign w:val="bottom"/>
            <w:hideMark/>
          </w:tcPr>
          <w:p w14:paraId="6B8A85A8" w14:textId="77777777" w:rsidR="00527158" w:rsidRPr="00EF768C" w:rsidRDefault="00D77DFF" w:rsidP="00462410">
            <w:pPr>
              <w:jc w:val="both"/>
              <w:rPr>
                <w:sz w:val="18"/>
                <w:szCs w:val="18"/>
              </w:rPr>
            </w:pPr>
            <w:r w:rsidRPr="00EF768C">
              <w:rPr>
                <w:sz w:val="18"/>
                <w:szCs w:val="18"/>
              </w:rPr>
              <w:t>10</w:t>
            </w:r>
          </w:p>
        </w:tc>
      </w:tr>
      <w:tr w:rsidR="0046600D" w14:paraId="0BD1219D" w14:textId="77777777" w:rsidTr="00527158">
        <w:trPr>
          <w:trHeight w:val="32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0F0081AE" w14:textId="77777777" w:rsidR="00527158" w:rsidRPr="00EF768C" w:rsidRDefault="00D77DFF" w:rsidP="00462410">
            <w:pPr>
              <w:jc w:val="both"/>
              <w:rPr>
                <w:sz w:val="18"/>
                <w:szCs w:val="18"/>
              </w:rPr>
            </w:pPr>
            <w:r w:rsidRPr="00EF768C">
              <w:rPr>
                <w:sz w:val="18"/>
                <w:szCs w:val="18"/>
              </w:rPr>
              <w:t>NUTS 05</w:t>
            </w:r>
          </w:p>
        </w:tc>
        <w:tc>
          <w:tcPr>
            <w:tcW w:w="1040" w:type="dxa"/>
            <w:tcBorders>
              <w:top w:val="nil"/>
              <w:left w:val="nil"/>
              <w:bottom w:val="single" w:sz="4" w:space="0" w:color="auto"/>
              <w:right w:val="single" w:sz="4" w:space="0" w:color="auto"/>
            </w:tcBorders>
            <w:shd w:val="clear" w:color="auto" w:fill="auto"/>
            <w:noWrap/>
            <w:vAlign w:val="bottom"/>
            <w:hideMark/>
          </w:tcPr>
          <w:p w14:paraId="217B9A2C" w14:textId="77777777" w:rsidR="00527158" w:rsidRPr="00EF768C" w:rsidRDefault="00D77DFF" w:rsidP="00462410">
            <w:pPr>
              <w:jc w:val="both"/>
              <w:rPr>
                <w:sz w:val="18"/>
                <w:szCs w:val="18"/>
              </w:rPr>
            </w:pPr>
            <w:r w:rsidRPr="00EF768C">
              <w:rPr>
                <w:sz w:val="18"/>
                <w:szCs w:val="18"/>
              </w:rPr>
              <w:t>L a HK a P</w:t>
            </w:r>
          </w:p>
        </w:tc>
        <w:tc>
          <w:tcPr>
            <w:tcW w:w="1773" w:type="dxa"/>
            <w:tcBorders>
              <w:top w:val="nil"/>
              <w:left w:val="nil"/>
              <w:bottom w:val="single" w:sz="4" w:space="0" w:color="auto"/>
              <w:right w:val="single" w:sz="4" w:space="0" w:color="auto"/>
            </w:tcBorders>
            <w:shd w:val="clear" w:color="auto" w:fill="auto"/>
            <w:noWrap/>
            <w:vAlign w:val="bottom"/>
            <w:hideMark/>
          </w:tcPr>
          <w:p w14:paraId="1DD65909" w14:textId="77777777" w:rsidR="00527158" w:rsidRPr="00EF768C" w:rsidRDefault="00D77DFF" w:rsidP="00462410">
            <w:pPr>
              <w:jc w:val="both"/>
              <w:rPr>
                <w:sz w:val="18"/>
                <w:szCs w:val="18"/>
              </w:rPr>
            </w:pPr>
            <w:r w:rsidRPr="00EF768C">
              <w:rPr>
                <w:sz w:val="18"/>
                <w:szCs w:val="18"/>
              </w:rPr>
              <w:t>Severovýchod*</w:t>
            </w:r>
          </w:p>
        </w:tc>
        <w:tc>
          <w:tcPr>
            <w:tcW w:w="1129" w:type="dxa"/>
            <w:tcBorders>
              <w:top w:val="nil"/>
              <w:left w:val="nil"/>
              <w:bottom w:val="single" w:sz="4" w:space="0" w:color="auto"/>
              <w:right w:val="single" w:sz="4" w:space="0" w:color="auto"/>
            </w:tcBorders>
            <w:shd w:val="clear" w:color="auto" w:fill="auto"/>
            <w:noWrap/>
            <w:vAlign w:val="bottom"/>
            <w:hideMark/>
          </w:tcPr>
          <w:p w14:paraId="432279F2" w14:textId="77777777" w:rsidR="00527158" w:rsidRPr="00EF768C" w:rsidRDefault="00D77DFF" w:rsidP="00462410">
            <w:pPr>
              <w:jc w:val="both"/>
              <w:rPr>
                <w:sz w:val="18"/>
                <w:szCs w:val="18"/>
              </w:rPr>
            </w:pPr>
            <w:r w:rsidRPr="00EF768C">
              <w:rPr>
                <w:sz w:val="18"/>
                <w:szCs w:val="18"/>
              </w:rPr>
              <w:t>25</w:t>
            </w:r>
          </w:p>
        </w:tc>
        <w:tc>
          <w:tcPr>
            <w:tcW w:w="1129" w:type="dxa"/>
            <w:tcBorders>
              <w:top w:val="nil"/>
              <w:left w:val="nil"/>
              <w:bottom w:val="single" w:sz="4" w:space="0" w:color="auto"/>
              <w:right w:val="single" w:sz="4" w:space="0" w:color="auto"/>
            </w:tcBorders>
            <w:shd w:val="clear" w:color="auto" w:fill="auto"/>
            <w:noWrap/>
            <w:vAlign w:val="bottom"/>
            <w:hideMark/>
          </w:tcPr>
          <w:p w14:paraId="1CAD244A" w14:textId="77777777" w:rsidR="00527158" w:rsidRPr="00EF768C" w:rsidRDefault="00D77DFF" w:rsidP="00462410">
            <w:pPr>
              <w:jc w:val="both"/>
              <w:rPr>
                <w:sz w:val="18"/>
                <w:szCs w:val="18"/>
              </w:rPr>
            </w:pPr>
            <w:r w:rsidRPr="00EF768C">
              <w:rPr>
                <w:sz w:val="18"/>
                <w:szCs w:val="18"/>
              </w:rPr>
              <w:t>30</w:t>
            </w:r>
          </w:p>
        </w:tc>
        <w:tc>
          <w:tcPr>
            <w:tcW w:w="1131" w:type="dxa"/>
            <w:tcBorders>
              <w:top w:val="nil"/>
              <w:left w:val="nil"/>
              <w:bottom w:val="single" w:sz="4" w:space="0" w:color="auto"/>
              <w:right w:val="nil"/>
            </w:tcBorders>
            <w:shd w:val="clear" w:color="auto" w:fill="auto"/>
            <w:noWrap/>
            <w:vAlign w:val="bottom"/>
            <w:hideMark/>
          </w:tcPr>
          <w:p w14:paraId="3955E986" w14:textId="77777777" w:rsidR="00527158" w:rsidRPr="00EF768C" w:rsidRDefault="00D77DFF" w:rsidP="00462410">
            <w:pPr>
              <w:jc w:val="both"/>
              <w:rPr>
                <w:sz w:val="18"/>
                <w:szCs w:val="18"/>
              </w:rPr>
            </w:pPr>
            <w:r w:rsidRPr="00EF768C">
              <w:rPr>
                <w:sz w:val="18"/>
                <w:szCs w:val="18"/>
              </w:rPr>
              <w:t>30</w:t>
            </w:r>
          </w:p>
        </w:tc>
        <w:tc>
          <w:tcPr>
            <w:tcW w:w="1159" w:type="dxa"/>
            <w:tcBorders>
              <w:top w:val="nil"/>
              <w:left w:val="double" w:sz="6" w:space="0" w:color="auto"/>
              <w:bottom w:val="single" w:sz="4" w:space="0" w:color="auto"/>
              <w:right w:val="single" w:sz="4" w:space="0" w:color="auto"/>
            </w:tcBorders>
            <w:shd w:val="clear" w:color="000000" w:fill="F2F2F2"/>
            <w:noWrap/>
            <w:vAlign w:val="bottom"/>
            <w:hideMark/>
          </w:tcPr>
          <w:p w14:paraId="2FEC8DD3" w14:textId="77777777" w:rsidR="00527158" w:rsidRPr="00EF768C" w:rsidRDefault="00D77DFF" w:rsidP="00462410">
            <w:pPr>
              <w:jc w:val="both"/>
              <w:rPr>
                <w:sz w:val="18"/>
                <w:szCs w:val="18"/>
              </w:rPr>
            </w:pPr>
            <w:r w:rsidRPr="00EF768C">
              <w:rPr>
                <w:sz w:val="18"/>
                <w:szCs w:val="18"/>
              </w:rPr>
              <w:t>20</w:t>
            </w:r>
          </w:p>
        </w:tc>
        <w:tc>
          <w:tcPr>
            <w:tcW w:w="1159" w:type="dxa"/>
            <w:tcBorders>
              <w:top w:val="nil"/>
              <w:left w:val="nil"/>
              <w:bottom w:val="single" w:sz="4" w:space="0" w:color="auto"/>
              <w:right w:val="single" w:sz="4" w:space="0" w:color="auto"/>
            </w:tcBorders>
            <w:shd w:val="clear" w:color="000000" w:fill="F2F2F2"/>
            <w:noWrap/>
            <w:vAlign w:val="bottom"/>
            <w:hideMark/>
          </w:tcPr>
          <w:p w14:paraId="2109B0D2" w14:textId="77777777" w:rsidR="00527158" w:rsidRPr="00EF768C" w:rsidRDefault="00D77DFF" w:rsidP="00462410">
            <w:pPr>
              <w:jc w:val="both"/>
              <w:rPr>
                <w:sz w:val="18"/>
                <w:szCs w:val="18"/>
              </w:rPr>
            </w:pPr>
            <w:r w:rsidRPr="00EF768C">
              <w:rPr>
                <w:sz w:val="18"/>
                <w:szCs w:val="18"/>
              </w:rPr>
              <w:t>10</w:t>
            </w:r>
          </w:p>
        </w:tc>
      </w:tr>
      <w:tr w:rsidR="0046600D" w14:paraId="0EF8E8C2" w14:textId="77777777" w:rsidTr="00527158">
        <w:trPr>
          <w:trHeight w:val="32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710335C9" w14:textId="77777777" w:rsidR="00527158" w:rsidRPr="00EF768C" w:rsidRDefault="00D77DFF" w:rsidP="00462410">
            <w:pPr>
              <w:jc w:val="both"/>
              <w:rPr>
                <w:sz w:val="18"/>
                <w:szCs w:val="18"/>
              </w:rPr>
            </w:pPr>
            <w:r w:rsidRPr="00EF768C">
              <w:rPr>
                <w:sz w:val="18"/>
                <w:szCs w:val="18"/>
              </w:rPr>
              <w:t>NUTS 06</w:t>
            </w:r>
          </w:p>
        </w:tc>
        <w:tc>
          <w:tcPr>
            <w:tcW w:w="1040" w:type="dxa"/>
            <w:tcBorders>
              <w:top w:val="nil"/>
              <w:left w:val="nil"/>
              <w:bottom w:val="single" w:sz="4" w:space="0" w:color="auto"/>
              <w:right w:val="single" w:sz="4" w:space="0" w:color="auto"/>
            </w:tcBorders>
            <w:shd w:val="clear" w:color="auto" w:fill="auto"/>
            <w:noWrap/>
            <w:vAlign w:val="bottom"/>
            <w:hideMark/>
          </w:tcPr>
          <w:p w14:paraId="2333513D" w14:textId="77777777" w:rsidR="00527158" w:rsidRPr="00EF768C" w:rsidRDefault="00D77DFF" w:rsidP="00462410">
            <w:pPr>
              <w:jc w:val="both"/>
              <w:rPr>
                <w:sz w:val="18"/>
                <w:szCs w:val="18"/>
              </w:rPr>
            </w:pPr>
            <w:r w:rsidRPr="00EF768C">
              <w:rPr>
                <w:sz w:val="18"/>
                <w:szCs w:val="18"/>
              </w:rPr>
              <w:t>V a B</w:t>
            </w:r>
          </w:p>
        </w:tc>
        <w:tc>
          <w:tcPr>
            <w:tcW w:w="1773" w:type="dxa"/>
            <w:tcBorders>
              <w:top w:val="nil"/>
              <w:left w:val="nil"/>
              <w:bottom w:val="single" w:sz="4" w:space="0" w:color="auto"/>
              <w:right w:val="single" w:sz="4" w:space="0" w:color="auto"/>
            </w:tcBorders>
            <w:shd w:val="clear" w:color="auto" w:fill="auto"/>
            <w:noWrap/>
            <w:vAlign w:val="bottom"/>
            <w:hideMark/>
          </w:tcPr>
          <w:p w14:paraId="02C05653" w14:textId="77777777" w:rsidR="00527158" w:rsidRPr="00EF768C" w:rsidRDefault="00D77DFF" w:rsidP="00462410">
            <w:pPr>
              <w:jc w:val="both"/>
              <w:rPr>
                <w:sz w:val="18"/>
                <w:szCs w:val="18"/>
              </w:rPr>
            </w:pPr>
            <w:r w:rsidRPr="00EF768C">
              <w:rPr>
                <w:sz w:val="18"/>
                <w:szCs w:val="18"/>
              </w:rPr>
              <w:t>Jihovýchod**</w:t>
            </w:r>
          </w:p>
        </w:tc>
        <w:tc>
          <w:tcPr>
            <w:tcW w:w="1129" w:type="dxa"/>
            <w:tcBorders>
              <w:top w:val="nil"/>
              <w:left w:val="nil"/>
              <w:bottom w:val="single" w:sz="4" w:space="0" w:color="auto"/>
              <w:right w:val="single" w:sz="4" w:space="0" w:color="auto"/>
            </w:tcBorders>
            <w:shd w:val="clear" w:color="auto" w:fill="auto"/>
            <w:noWrap/>
            <w:vAlign w:val="bottom"/>
            <w:hideMark/>
          </w:tcPr>
          <w:p w14:paraId="27BC545E" w14:textId="77777777" w:rsidR="00527158" w:rsidRPr="00EF768C" w:rsidRDefault="00D77DFF" w:rsidP="00462410">
            <w:pPr>
              <w:jc w:val="both"/>
              <w:rPr>
                <w:sz w:val="18"/>
                <w:szCs w:val="18"/>
              </w:rPr>
            </w:pPr>
            <w:r w:rsidRPr="00EF768C">
              <w:rPr>
                <w:sz w:val="18"/>
                <w:szCs w:val="18"/>
              </w:rPr>
              <w:t>25</w:t>
            </w:r>
          </w:p>
        </w:tc>
        <w:tc>
          <w:tcPr>
            <w:tcW w:w="1129" w:type="dxa"/>
            <w:tcBorders>
              <w:top w:val="nil"/>
              <w:left w:val="nil"/>
              <w:bottom w:val="single" w:sz="4" w:space="0" w:color="auto"/>
              <w:right w:val="single" w:sz="4" w:space="0" w:color="auto"/>
            </w:tcBorders>
            <w:shd w:val="clear" w:color="auto" w:fill="auto"/>
            <w:noWrap/>
            <w:vAlign w:val="bottom"/>
            <w:hideMark/>
          </w:tcPr>
          <w:p w14:paraId="7EFD660D" w14:textId="77777777" w:rsidR="00527158" w:rsidRPr="00EF768C" w:rsidRDefault="00D77DFF" w:rsidP="00462410">
            <w:pPr>
              <w:jc w:val="both"/>
              <w:rPr>
                <w:sz w:val="18"/>
                <w:szCs w:val="18"/>
              </w:rPr>
            </w:pPr>
            <w:r w:rsidRPr="00EF768C">
              <w:rPr>
                <w:sz w:val="18"/>
                <w:szCs w:val="18"/>
              </w:rPr>
              <w:t>20</w:t>
            </w:r>
          </w:p>
        </w:tc>
        <w:tc>
          <w:tcPr>
            <w:tcW w:w="1131" w:type="dxa"/>
            <w:tcBorders>
              <w:top w:val="nil"/>
              <w:left w:val="nil"/>
              <w:bottom w:val="single" w:sz="4" w:space="0" w:color="auto"/>
              <w:right w:val="nil"/>
            </w:tcBorders>
            <w:shd w:val="clear" w:color="auto" w:fill="auto"/>
            <w:noWrap/>
            <w:vAlign w:val="bottom"/>
            <w:hideMark/>
          </w:tcPr>
          <w:p w14:paraId="5A40F1A3" w14:textId="77777777" w:rsidR="00527158" w:rsidRPr="00EF768C" w:rsidRDefault="00D77DFF" w:rsidP="00462410">
            <w:pPr>
              <w:jc w:val="both"/>
              <w:rPr>
                <w:sz w:val="18"/>
                <w:szCs w:val="18"/>
              </w:rPr>
            </w:pPr>
            <w:r w:rsidRPr="00EF768C">
              <w:rPr>
                <w:sz w:val="18"/>
                <w:szCs w:val="18"/>
              </w:rPr>
              <w:t>15</w:t>
            </w:r>
          </w:p>
        </w:tc>
        <w:tc>
          <w:tcPr>
            <w:tcW w:w="1159" w:type="dxa"/>
            <w:tcBorders>
              <w:top w:val="nil"/>
              <w:left w:val="double" w:sz="6" w:space="0" w:color="auto"/>
              <w:bottom w:val="single" w:sz="4" w:space="0" w:color="auto"/>
              <w:right w:val="single" w:sz="4" w:space="0" w:color="auto"/>
            </w:tcBorders>
            <w:shd w:val="clear" w:color="000000" w:fill="F2F2F2"/>
            <w:noWrap/>
            <w:vAlign w:val="bottom"/>
            <w:hideMark/>
          </w:tcPr>
          <w:p w14:paraId="0882F03B" w14:textId="77777777" w:rsidR="00527158" w:rsidRPr="00EF768C" w:rsidRDefault="00D77DFF" w:rsidP="00462410">
            <w:pPr>
              <w:jc w:val="both"/>
              <w:rPr>
                <w:sz w:val="18"/>
                <w:szCs w:val="18"/>
              </w:rPr>
            </w:pPr>
            <w:r w:rsidRPr="00EF768C">
              <w:rPr>
                <w:sz w:val="18"/>
                <w:szCs w:val="18"/>
              </w:rPr>
              <w:t>20</w:t>
            </w:r>
          </w:p>
        </w:tc>
        <w:tc>
          <w:tcPr>
            <w:tcW w:w="1159" w:type="dxa"/>
            <w:tcBorders>
              <w:top w:val="nil"/>
              <w:left w:val="nil"/>
              <w:bottom w:val="single" w:sz="4" w:space="0" w:color="auto"/>
              <w:right w:val="single" w:sz="4" w:space="0" w:color="auto"/>
            </w:tcBorders>
            <w:shd w:val="clear" w:color="000000" w:fill="F2F2F2"/>
            <w:noWrap/>
            <w:vAlign w:val="bottom"/>
            <w:hideMark/>
          </w:tcPr>
          <w:p w14:paraId="2246BE22" w14:textId="77777777" w:rsidR="00527158" w:rsidRPr="00EF768C" w:rsidRDefault="00D77DFF" w:rsidP="00462410">
            <w:pPr>
              <w:jc w:val="both"/>
              <w:rPr>
                <w:sz w:val="18"/>
                <w:szCs w:val="18"/>
              </w:rPr>
            </w:pPr>
            <w:r w:rsidRPr="00EF768C">
              <w:rPr>
                <w:sz w:val="18"/>
                <w:szCs w:val="18"/>
              </w:rPr>
              <w:t>10</w:t>
            </w:r>
          </w:p>
        </w:tc>
      </w:tr>
      <w:tr w:rsidR="0046600D" w14:paraId="291DD2F9" w14:textId="77777777" w:rsidTr="00527158">
        <w:trPr>
          <w:trHeight w:val="32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7E061C1C" w14:textId="77777777" w:rsidR="00527158" w:rsidRPr="00EF768C" w:rsidRDefault="00D77DFF" w:rsidP="00462410">
            <w:pPr>
              <w:jc w:val="both"/>
              <w:rPr>
                <w:sz w:val="18"/>
                <w:szCs w:val="18"/>
              </w:rPr>
            </w:pPr>
            <w:r w:rsidRPr="00EF768C">
              <w:rPr>
                <w:sz w:val="18"/>
                <w:szCs w:val="18"/>
              </w:rPr>
              <w:t>NUTS 07</w:t>
            </w:r>
          </w:p>
        </w:tc>
        <w:tc>
          <w:tcPr>
            <w:tcW w:w="1040" w:type="dxa"/>
            <w:tcBorders>
              <w:top w:val="nil"/>
              <w:left w:val="nil"/>
              <w:bottom w:val="single" w:sz="4" w:space="0" w:color="auto"/>
              <w:right w:val="single" w:sz="4" w:space="0" w:color="auto"/>
            </w:tcBorders>
            <w:shd w:val="clear" w:color="auto" w:fill="auto"/>
            <w:noWrap/>
            <w:vAlign w:val="bottom"/>
            <w:hideMark/>
          </w:tcPr>
          <w:p w14:paraId="4B7162DF" w14:textId="77777777" w:rsidR="00527158" w:rsidRPr="00EF768C" w:rsidRDefault="00D77DFF" w:rsidP="00462410">
            <w:pPr>
              <w:jc w:val="both"/>
              <w:rPr>
                <w:sz w:val="18"/>
                <w:szCs w:val="18"/>
              </w:rPr>
            </w:pPr>
            <w:r w:rsidRPr="00EF768C">
              <w:rPr>
                <w:sz w:val="18"/>
                <w:szCs w:val="18"/>
              </w:rPr>
              <w:t>Z a O</w:t>
            </w:r>
          </w:p>
        </w:tc>
        <w:tc>
          <w:tcPr>
            <w:tcW w:w="1773" w:type="dxa"/>
            <w:tcBorders>
              <w:top w:val="nil"/>
              <w:left w:val="nil"/>
              <w:bottom w:val="single" w:sz="4" w:space="0" w:color="auto"/>
              <w:right w:val="single" w:sz="4" w:space="0" w:color="auto"/>
            </w:tcBorders>
            <w:shd w:val="clear" w:color="auto" w:fill="auto"/>
            <w:noWrap/>
            <w:vAlign w:val="bottom"/>
            <w:hideMark/>
          </w:tcPr>
          <w:p w14:paraId="57EAD2DC" w14:textId="77777777" w:rsidR="00527158" w:rsidRPr="00EF768C" w:rsidRDefault="00D77DFF" w:rsidP="00462410">
            <w:pPr>
              <w:jc w:val="both"/>
              <w:rPr>
                <w:sz w:val="18"/>
                <w:szCs w:val="18"/>
              </w:rPr>
            </w:pPr>
            <w:r w:rsidRPr="00EF768C">
              <w:rPr>
                <w:sz w:val="18"/>
                <w:szCs w:val="18"/>
              </w:rPr>
              <w:t>Střední Morava*</w:t>
            </w:r>
          </w:p>
        </w:tc>
        <w:tc>
          <w:tcPr>
            <w:tcW w:w="1129" w:type="dxa"/>
            <w:tcBorders>
              <w:top w:val="nil"/>
              <w:left w:val="nil"/>
              <w:bottom w:val="single" w:sz="4" w:space="0" w:color="auto"/>
              <w:right w:val="single" w:sz="4" w:space="0" w:color="auto"/>
            </w:tcBorders>
            <w:shd w:val="clear" w:color="auto" w:fill="auto"/>
            <w:noWrap/>
            <w:vAlign w:val="bottom"/>
            <w:hideMark/>
          </w:tcPr>
          <w:p w14:paraId="66A8378F" w14:textId="77777777" w:rsidR="00527158" w:rsidRPr="00EF768C" w:rsidRDefault="00D77DFF" w:rsidP="00462410">
            <w:pPr>
              <w:jc w:val="both"/>
              <w:rPr>
                <w:sz w:val="18"/>
                <w:szCs w:val="18"/>
              </w:rPr>
            </w:pPr>
            <w:r w:rsidRPr="00EF768C">
              <w:rPr>
                <w:sz w:val="18"/>
                <w:szCs w:val="18"/>
              </w:rPr>
              <w:t>25</w:t>
            </w:r>
          </w:p>
        </w:tc>
        <w:tc>
          <w:tcPr>
            <w:tcW w:w="1129" w:type="dxa"/>
            <w:tcBorders>
              <w:top w:val="nil"/>
              <w:left w:val="nil"/>
              <w:bottom w:val="single" w:sz="4" w:space="0" w:color="auto"/>
              <w:right w:val="single" w:sz="4" w:space="0" w:color="auto"/>
            </w:tcBorders>
            <w:shd w:val="clear" w:color="auto" w:fill="auto"/>
            <w:noWrap/>
            <w:vAlign w:val="bottom"/>
            <w:hideMark/>
          </w:tcPr>
          <w:p w14:paraId="5E684988" w14:textId="77777777" w:rsidR="00527158" w:rsidRPr="00EF768C" w:rsidRDefault="00D77DFF" w:rsidP="00462410">
            <w:pPr>
              <w:jc w:val="both"/>
              <w:rPr>
                <w:sz w:val="18"/>
                <w:szCs w:val="18"/>
              </w:rPr>
            </w:pPr>
            <w:r w:rsidRPr="00EF768C">
              <w:rPr>
                <w:sz w:val="18"/>
                <w:szCs w:val="18"/>
              </w:rPr>
              <w:t>30</w:t>
            </w:r>
          </w:p>
        </w:tc>
        <w:tc>
          <w:tcPr>
            <w:tcW w:w="1131" w:type="dxa"/>
            <w:tcBorders>
              <w:top w:val="nil"/>
              <w:left w:val="nil"/>
              <w:bottom w:val="single" w:sz="4" w:space="0" w:color="auto"/>
              <w:right w:val="nil"/>
            </w:tcBorders>
            <w:shd w:val="clear" w:color="auto" w:fill="auto"/>
            <w:noWrap/>
            <w:vAlign w:val="bottom"/>
            <w:hideMark/>
          </w:tcPr>
          <w:p w14:paraId="61D9C56A" w14:textId="77777777" w:rsidR="00527158" w:rsidRPr="00EF768C" w:rsidRDefault="00D77DFF" w:rsidP="00462410">
            <w:pPr>
              <w:jc w:val="both"/>
              <w:rPr>
                <w:sz w:val="18"/>
                <w:szCs w:val="18"/>
              </w:rPr>
            </w:pPr>
            <w:r w:rsidRPr="00EF768C">
              <w:rPr>
                <w:sz w:val="18"/>
                <w:szCs w:val="18"/>
              </w:rPr>
              <w:t>30</w:t>
            </w:r>
          </w:p>
        </w:tc>
        <w:tc>
          <w:tcPr>
            <w:tcW w:w="1159" w:type="dxa"/>
            <w:tcBorders>
              <w:top w:val="nil"/>
              <w:left w:val="double" w:sz="6" w:space="0" w:color="auto"/>
              <w:bottom w:val="single" w:sz="4" w:space="0" w:color="auto"/>
              <w:right w:val="single" w:sz="4" w:space="0" w:color="auto"/>
            </w:tcBorders>
            <w:shd w:val="clear" w:color="000000" w:fill="F2F2F2"/>
            <w:noWrap/>
            <w:vAlign w:val="bottom"/>
            <w:hideMark/>
          </w:tcPr>
          <w:p w14:paraId="7A7759A2" w14:textId="77777777" w:rsidR="00527158" w:rsidRPr="00EF768C" w:rsidRDefault="00D77DFF" w:rsidP="00462410">
            <w:pPr>
              <w:jc w:val="both"/>
              <w:rPr>
                <w:sz w:val="18"/>
                <w:szCs w:val="18"/>
              </w:rPr>
            </w:pPr>
            <w:r w:rsidRPr="00EF768C">
              <w:rPr>
                <w:sz w:val="18"/>
                <w:szCs w:val="18"/>
              </w:rPr>
              <w:t>20</w:t>
            </w:r>
          </w:p>
        </w:tc>
        <w:tc>
          <w:tcPr>
            <w:tcW w:w="1159" w:type="dxa"/>
            <w:tcBorders>
              <w:top w:val="nil"/>
              <w:left w:val="nil"/>
              <w:bottom w:val="single" w:sz="4" w:space="0" w:color="auto"/>
              <w:right w:val="single" w:sz="4" w:space="0" w:color="auto"/>
            </w:tcBorders>
            <w:shd w:val="clear" w:color="000000" w:fill="F2F2F2"/>
            <w:noWrap/>
            <w:vAlign w:val="bottom"/>
            <w:hideMark/>
          </w:tcPr>
          <w:p w14:paraId="4FB68BCB" w14:textId="77777777" w:rsidR="00527158" w:rsidRPr="00EF768C" w:rsidRDefault="00D77DFF" w:rsidP="00462410">
            <w:pPr>
              <w:jc w:val="both"/>
              <w:rPr>
                <w:sz w:val="18"/>
                <w:szCs w:val="18"/>
              </w:rPr>
            </w:pPr>
            <w:r w:rsidRPr="00EF768C">
              <w:rPr>
                <w:sz w:val="18"/>
                <w:szCs w:val="18"/>
              </w:rPr>
              <w:t>10</w:t>
            </w:r>
          </w:p>
        </w:tc>
      </w:tr>
      <w:tr w:rsidR="0046600D" w14:paraId="17407D5B" w14:textId="77777777" w:rsidTr="00527158">
        <w:trPr>
          <w:trHeight w:val="32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78336755" w14:textId="77777777" w:rsidR="00527158" w:rsidRPr="00EF768C" w:rsidRDefault="00D77DFF" w:rsidP="00462410">
            <w:pPr>
              <w:jc w:val="both"/>
              <w:rPr>
                <w:sz w:val="18"/>
                <w:szCs w:val="18"/>
              </w:rPr>
            </w:pPr>
            <w:r w:rsidRPr="00EF768C">
              <w:rPr>
                <w:sz w:val="18"/>
                <w:szCs w:val="18"/>
              </w:rPr>
              <w:t>NUTS 08</w:t>
            </w:r>
          </w:p>
        </w:tc>
        <w:tc>
          <w:tcPr>
            <w:tcW w:w="1040" w:type="dxa"/>
            <w:tcBorders>
              <w:top w:val="nil"/>
              <w:left w:val="nil"/>
              <w:bottom w:val="single" w:sz="4" w:space="0" w:color="auto"/>
              <w:right w:val="single" w:sz="4" w:space="0" w:color="auto"/>
            </w:tcBorders>
            <w:shd w:val="clear" w:color="auto" w:fill="auto"/>
            <w:noWrap/>
            <w:vAlign w:val="bottom"/>
            <w:hideMark/>
          </w:tcPr>
          <w:p w14:paraId="67100FA7" w14:textId="77777777" w:rsidR="00527158" w:rsidRPr="00EF768C" w:rsidRDefault="00D77DFF" w:rsidP="00462410">
            <w:pPr>
              <w:jc w:val="both"/>
              <w:rPr>
                <w:sz w:val="18"/>
                <w:szCs w:val="18"/>
              </w:rPr>
            </w:pPr>
            <w:r w:rsidRPr="00EF768C">
              <w:rPr>
                <w:sz w:val="18"/>
                <w:szCs w:val="18"/>
              </w:rPr>
              <w:t>O</w:t>
            </w:r>
          </w:p>
        </w:tc>
        <w:tc>
          <w:tcPr>
            <w:tcW w:w="1773" w:type="dxa"/>
            <w:tcBorders>
              <w:top w:val="nil"/>
              <w:left w:val="nil"/>
              <w:bottom w:val="single" w:sz="4" w:space="0" w:color="auto"/>
              <w:right w:val="single" w:sz="4" w:space="0" w:color="auto"/>
            </w:tcBorders>
            <w:shd w:val="clear" w:color="auto" w:fill="auto"/>
            <w:noWrap/>
            <w:vAlign w:val="bottom"/>
            <w:hideMark/>
          </w:tcPr>
          <w:p w14:paraId="6E356989" w14:textId="77777777" w:rsidR="00527158" w:rsidRPr="00EF768C" w:rsidRDefault="00D77DFF" w:rsidP="00462410">
            <w:pPr>
              <w:jc w:val="both"/>
              <w:rPr>
                <w:sz w:val="18"/>
                <w:szCs w:val="18"/>
              </w:rPr>
            </w:pPr>
            <w:r w:rsidRPr="00EF768C">
              <w:rPr>
                <w:sz w:val="18"/>
                <w:szCs w:val="18"/>
              </w:rPr>
              <w:t>Moravskoslezsko*</w:t>
            </w:r>
          </w:p>
        </w:tc>
        <w:tc>
          <w:tcPr>
            <w:tcW w:w="1129" w:type="dxa"/>
            <w:tcBorders>
              <w:top w:val="nil"/>
              <w:left w:val="nil"/>
              <w:bottom w:val="single" w:sz="4" w:space="0" w:color="auto"/>
              <w:right w:val="single" w:sz="4" w:space="0" w:color="auto"/>
            </w:tcBorders>
            <w:shd w:val="clear" w:color="auto" w:fill="auto"/>
            <w:noWrap/>
            <w:vAlign w:val="bottom"/>
            <w:hideMark/>
          </w:tcPr>
          <w:p w14:paraId="121E8DE1" w14:textId="77777777" w:rsidR="00527158" w:rsidRPr="00EF768C" w:rsidRDefault="00D77DFF" w:rsidP="00462410">
            <w:pPr>
              <w:jc w:val="both"/>
              <w:rPr>
                <w:sz w:val="18"/>
                <w:szCs w:val="18"/>
              </w:rPr>
            </w:pPr>
            <w:r w:rsidRPr="00EF768C">
              <w:rPr>
                <w:sz w:val="18"/>
                <w:szCs w:val="18"/>
              </w:rPr>
              <w:t>25</w:t>
            </w:r>
          </w:p>
        </w:tc>
        <w:tc>
          <w:tcPr>
            <w:tcW w:w="1129" w:type="dxa"/>
            <w:tcBorders>
              <w:top w:val="nil"/>
              <w:left w:val="nil"/>
              <w:bottom w:val="single" w:sz="4" w:space="0" w:color="auto"/>
              <w:right w:val="single" w:sz="4" w:space="0" w:color="auto"/>
            </w:tcBorders>
            <w:shd w:val="clear" w:color="auto" w:fill="auto"/>
            <w:noWrap/>
            <w:vAlign w:val="bottom"/>
            <w:hideMark/>
          </w:tcPr>
          <w:p w14:paraId="3935B3CD" w14:textId="77777777" w:rsidR="00527158" w:rsidRPr="00EF768C" w:rsidRDefault="00D77DFF" w:rsidP="00462410">
            <w:pPr>
              <w:jc w:val="both"/>
              <w:rPr>
                <w:sz w:val="18"/>
                <w:szCs w:val="18"/>
              </w:rPr>
            </w:pPr>
            <w:r w:rsidRPr="00EF768C">
              <w:rPr>
                <w:sz w:val="18"/>
                <w:szCs w:val="18"/>
              </w:rPr>
              <w:t>40</w:t>
            </w:r>
          </w:p>
        </w:tc>
        <w:tc>
          <w:tcPr>
            <w:tcW w:w="1131" w:type="dxa"/>
            <w:tcBorders>
              <w:top w:val="nil"/>
              <w:left w:val="nil"/>
              <w:bottom w:val="single" w:sz="4" w:space="0" w:color="auto"/>
              <w:right w:val="nil"/>
            </w:tcBorders>
            <w:shd w:val="clear" w:color="auto" w:fill="auto"/>
            <w:noWrap/>
            <w:vAlign w:val="bottom"/>
            <w:hideMark/>
          </w:tcPr>
          <w:p w14:paraId="5C3F88C0" w14:textId="77777777" w:rsidR="00527158" w:rsidRPr="00EF768C" w:rsidRDefault="00D77DFF" w:rsidP="00462410">
            <w:pPr>
              <w:jc w:val="both"/>
              <w:rPr>
                <w:sz w:val="18"/>
                <w:szCs w:val="18"/>
              </w:rPr>
            </w:pPr>
            <w:r w:rsidRPr="00EF768C">
              <w:rPr>
                <w:sz w:val="18"/>
                <w:szCs w:val="18"/>
              </w:rPr>
              <w:t>40</w:t>
            </w:r>
          </w:p>
        </w:tc>
        <w:tc>
          <w:tcPr>
            <w:tcW w:w="1159" w:type="dxa"/>
            <w:tcBorders>
              <w:top w:val="nil"/>
              <w:left w:val="double" w:sz="6" w:space="0" w:color="auto"/>
              <w:bottom w:val="single" w:sz="4" w:space="0" w:color="auto"/>
              <w:right w:val="single" w:sz="4" w:space="0" w:color="auto"/>
            </w:tcBorders>
            <w:shd w:val="clear" w:color="000000" w:fill="F2F2F2"/>
            <w:noWrap/>
            <w:vAlign w:val="bottom"/>
            <w:hideMark/>
          </w:tcPr>
          <w:p w14:paraId="0C6E2052" w14:textId="77777777" w:rsidR="00527158" w:rsidRPr="00EF768C" w:rsidRDefault="00D77DFF" w:rsidP="00462410">
            <w:pPr>
              <w:jc w:val="both"/>
              <w:rPr>
                <w:sz w:val="18"/>
                <w:szCs w:val="18"/>
              </w:rPr>
            </w:pPr>
            <w:r w:rsidRPr="00EF768C">
              <w:rPr>
                <w:sz w:val="18"/>
                <w:szCs w:val="18"/>
              </w:rPr>
              <w:t>20</w:t>
            </w:r>
          </w:p>
        </w:tc>
        <w:tc>
          <w:tcPr>
            <w:tcW w:w="1159" w:type="dxa"/>
            <w:tcBorders>
              <w:top w:val="nil"/>
              <w:left w:val="nil"/>
              <w:bottom w:val="single" w:sz="4" w:space="0" w:color="auto"/>
              <w:right w:val="single" w:sz="4" w:space="0" w:color="auto"/>
            </w:tcBorders>
            <w:shd w:val="clear" w:color="000000" w:fill="F2F2F2"/>
            <w:noWrap/>
            <w:vAlign w:val="bottom"/>
            <w:hideMark/>
          </w:tcPr>
          <w:p w14:paraId="77DA92D9" w14:textId="77777777" w:rsidR="00527158" w:rsidRPr="00EF768C" w:rsidRDefault="00D77DFF" w:rsidP="00462410">
            <w:pPr>
              <w:jc w:val="both"/>
              <w:rPr>
                <w:sz w:val="18"/>
                <w:szCs w:val="18"/>
              </w:rPr>
            </w:pPr>
            <w:r w:rsidRPr="00EF768C">
              <w:rPr>
                <w:sz w:val="18"/>
                <w:szCs w:val="18"/>
              </w:rPr>
              <w:t>10</w:t>
            </w:r>
          </w:p>
        </w:tc>
      </w:tr>
      <w:tr w:rsidR="0046600D" w14:paraId="7CEEC19C" w14:textId="77777777" w:rsidTr="00691932">
        <w:trPr>
          <w:trHeight w:val="320"/>
        </w:trPr>
        <w:tc>
          <w:tcPr>
            <w:tcW w:w="9317" w:type="dxa"/>
            <w:gridSpan w:val="8"/>
            <w:tcBorders>
              <w:top w:val="nil"/>
              <w:left w:val="nil"/>
              <w:bottom w:val="nil"/>
              <w:right w:val="nil"/>
            </w:tcBorders>
            <w:shd w:val="clear" w:color="auto" w:fill="auto"/>
            <w:noWrap/>
            <w:vAlign w:val="bottom"/>
            <w:hideMark/>
          </w:tcPr>
          <w:p w14:paraId="2015BC8A" w14:textId="77777777" w:rsidR="00627FDB" w:rsidRPr="00EF768C" w:rsidRDefault="00D77DFF" w:rsidP="00462410">
            <w:pPr>
              <w:jc w:val="both"/>
              <w:rPr>
                <w:sz w:val="18"/>
                <w:szCs w:val="18"/>
              </w:rPr>
            </w:pPr>
            <w:r w:rsidRPr="00EF768C">
              <w:rPr>
                <w:sz w:val="18"/>
                <w:szCs w:val="18"/>
              </w:rPr>
              <w:t>* oblasti dle čl. 107 odst. 3 písm. a) SFEU</w:t>
            </w:r>
          </w:p>
        </w:tc>
      </w:tr>
      <w:tr w:rsidR="0046600D" w14:paraId="3A3B793E" w14:textId="77777777" w:rsidTr="00691932">
        <w:trPr>
          <w:trHeight w:val="320"/>
        </w:trPr>
        <w:tc>
          <w:tcPr>
            <w:tcW w:w="9317" w:type="dxa"/>
            <w:gridSpan w:val="8"/>
            <w:tcBorders>
              <w:top w:val="nil"/>
              <w:left w:val="nil"/>
              <w:bottom w:val="nil"/>
              <w:right w:val="nil"/>
            </w:tcBorders>
            <w:shd w:val="clear" w:color="auto" w:fill="auto"/>
            <w:noWrap/>
            <w:vAlign w:val="bottom"/>
            <w:hideMark/>
          </w:tcPr>
          <w:p w14:paraId="6E8688D0" w14:textId="77777777" w:rsidR="00627FDB" w:rsidRPr="00EF768C" w:rsidRDefault="00D77DFF" w:rsidP="00462410">
            <w:pPr>
              <w:jc w:val="both"/>
              <w:rPr>
                <w:sz w:val="18"/>
                <w:szCs w:val="18"/>
              </w:rPr>
            </w:pPr>
            <w:r w:rsidRPr="00EF768C">
              <w:rPr>
                <w:sz w:val="18"/>
                <w:szCs w:val="18"/>
              </w:rPr>
              <w:t>**oblasti dle čl. 107 odst. 3 písm. c) SFEU</w:t>
            </w:r>
          </w:p>
        </w:tc>
      </w:tr>
    </w:tbl>
    <w:p w14:paraId="16A705BC" w14:textId="77777777" w:rsidR="00E670F1" w:rsidRPr="00E670F1" w:rsidRDefault="00D77DFF" w:rsidP="00462410">
      <w:pPr>
        <w:pStyle w:val="OM-nadpis5"/>
      </w:pPr>
      <w:r w:rsidRPr="001636B3">
        <w:t>Investiční</w:t>
      </w:r>
      <w:r w:rsidRPr="00E670F1">
        <w:t xml:space="preserve"> podpora na ochranu životního prostředí včetně dekarbonizace </w:t>
      </w:r>
      <w:r>
        <w:t>(</w:t>
      </w:r>
      <w:r w:rsidRPr="00E670F1">
        <w:t>článek 36</w:t>
      </w:r>
      <w:r>
        <w:t>)</w:t>
      </w:r>
    </w:p>
    <w:p w14:paraId="2093B858" w14:textId="77777777" w:rsidR="00E670F1" w:rsidRPr="00E670F1" w:rsidRDefault="00D77DFF" w:rsidP="00462410">
      <w:pPr>
        <w:jc w:val="both"/>
      </w:pPr>
      <w:r w:rsidRPr="00E670F1">
        <w:t>Vhodná například pro projekty, kde je zaručeno, že opatření vede ke snížení emisí nad</w:t>
      </w:r>
      <w:r w:rsidR="007D3F19">
        <w:t> </w:t>
      </w:r>
      <w:r w:rsidRPr="00E670F1">
        <w:t>rámec normy EU, nebo v případě, že norma EU neexistuje.</w:t>
      </w:r>
    </w:p>
    <w:p w14:paraId="5E13C08A" w14:textId="77777777" w:rsidR="00E670F1" w:rsidRPr="00E670F1" w:rsidRDefault="00D77DFF" w:rsidP="00462410">
      <w:pPr>
        <w:jc w:val="both"/>
      </w:pPr>
      <w:r w:rsidRPr="00E670F1">
        <w:t>Podporu nelze poskytnout na instalaci zařízení využívajících fosilní paliva včetně zemního plynu, lze ale poskytnout podporu na instalaci dodatečného zařízení ke zdroji, který tato</w:t>
      </w:r>
      <w:r w:rsidR="00514CBB">
        <w:t> </w:t>
      </w:r>
      <w:r w:rsidRPr="00E670F1">
        <w:t xml:space="preserve">paliva využívá. </w:t>
      </w:r>
    </w:p>
    <w:p w14:paraId="36CE4D4B" w14:textId="77777777" w:rsidR="00E670F1" w:rsidRPr="00E670F1" w:rsidRDefault="00D77DFF" w:rsidP="00462410">
      <w:pPr>
        <w:jc w:val="both"/>
      </w:pPr>
      <w:r w:rsidRPr="00E670F1">
        <w:t>Ve většině případů je nezbytné stanovit způsobilé výdaje takzvanou rozdílovou metodou – od nákladů na investici se odečítají náklady na tzv. alternativní investici (scénář bez</w:t>
      </w:r>
      <w:r w:rsidR="007D3F19">
        <w:t> </w:t>
      </w:r>
      <w:r w:rsidRPr="00E670F1">
        <w:t>podpory). Výjimku z této povinnosti mají pouze „ad on“ technologie (bez dopadu na</w:t>
      </w:r>
      <w:r w:rsidR="00514CBB">
        <w:t> </w:t>
      </w:r>
      <w:r w:rsidRPr="00E670F1">
        <w:t>výši podpory)</w:t>
      </w:r>
    </w:p>
    <w:p w14:paraId="237803F3" w14:textId="77777777" w:rsidR="00E670F1" w:rsidRPr="00E670F1" w:rsidRDefault="00D77DFF" w:rsidP="00462410">
      <w:pPr>
        <w:jc w:val="both"/>
      </w:pPr>
      <w:r w:rsidRPr="00E670F1">
        <w:lastRenderedPageBreak/>
        <w:t>V případě, že alternativní investice není vyčíslena a nejedná se o „ad on“ technologii, je</w:t>
      </w:r>
      <w:r w:rsidR="007D3F19">
        <w:t> </w:t>
      </w:r>
      <w:r w:rsidRPr="00E670F1">
        <w:t>možné podporu poskytnout tak, že se procentní intenzita i bonusy poníží o 50 %.</w:t>
      </w:r>
    </w:p>
    <w:p w14:paraId="4E3C429D" w14:textId="77777777" w:rsidR="00E670F1" w:rsidRPr="00E670F1" w:rsidRDefault="00D77DFF" w:rsidP="00462410">
      <w:pPr>
        <w:jc w:val="both"/>
      </w:pPr>
      <w:r w:rsidRPr="00E670F1">
        <w:t>Součástí podkladů musí být ocenění alternativní investice provedené oprávněnou osobou</w:t>
      </w:r>
      <w:r w:rsidR="00B67078">
        <w:t>.</w:t>
      </w:r>
    </w:p>
    <w:p w14:paraId="78D469DB" w14:textId="77777777" w:rsidR="00E670F1" w:rsidRPr="00E670F1" w:rsidRDefault="00D77DFF" w:rsidP="00462410">
      <w:pPr>
        <w:jc w:val="both"/>
      </w:pPr>
      <w:r w:rsidRPr="00E670F1">
        <w:t>Nad rámec standardních příloh musí být doložena „Analýza souladu projektu s pravidly pro</w:t>
      </w:r>
      <w:r w:rsidR="007D3F19">
        <w:t> </w:t>
      </w:r>
      <w:r w:rsidRPr="00E670F1">
        <w:t>poskytování veřejné podpory“.</w:t>
      </w:r>
    </w:p>
    <w:p w14:paraId="07EDFB2F" w14:textId="77777777" w:rsidR="00E670F1" w:rsidRPr="00E670F1" w:rsidRDefault="00D77DFF" w:rsidP="00462410">
      <w:pPr>
        <w:jc w:val="both"/>
      </w:pPr>
      <w:r w:rsidRPr="00E670F1">
        <w:t>Nad rámec standardních příloh musí být doloženo čestné prohlášení k inkasnímu příkazu.</w:t>
      </w:r>
    </w:p>
    <w:p w14:paraId="4FCA0108" w14:textId="77777777" w:rsidR="00810690" w:rsidRPr="001636B3" w:rsidRDefault="00D77DFF" w:rsidP="00462410">
      <w:pPr>
        <w:jc w:val="both"/>
      </w:pPr>
      <w:r>
        <w:t>Individuální n</w:t>
      </w:r>
      <w:r w:rsidRPr="00810690">
        <w:t>otifikační práh</w:t>
      </w:r>
      <w:r>
        <w:t xml:space="preserve"> je </w:t>
      </w:r>
      <w:r w:rsidRPr="001636B3">
        <w:t>30 mil</w:t>
      </w:r>
      <w:r>
        <w:t>.</w:t>
      </w:r>
      <w:r w:rsidRPr="001636B3">
        <w:t xml:space="preserve"> </w:t>
      </w:r>
      <w:r w:rsidR="004918AB">
        <w:t>EUR</w:t>
      </w:r>
      <w:r w:rsidRPr="001636B3">
        <w:t xml:space="preserve"> podpory na jeden projekt</w:t>
      </w:r>
      <w:r>
        <w:t>.</w:t>
      </w:r>
    </w:p>
    <w:p w14:paraId="13966A46" w14:textId="77777777" w:rsidR="00886943" w:rsidRDefault="00D77DFF" w:rsidP="00462410">
      <w:pPr>
        <w:jc w:val="both"/>
      </w:pPr>
      <w:r w:rsidRPr="00E670F1">
        <w:t>Podpora je omezena procentní intenzitou dle tabulky níže:</w:t>
      </w:r>
    </w:p>
    <w:tbl>
      <w:tblPr>
        <w:tblW w:w="9401" w:type="dxa"/>
        <w:tblCellMar>
          <w:left w:w="0" w:type="dxa"/>
          <w:right w:w="0" w:type="dxa"/>
        </w:tblCellMar>
        <w:tblLook w:val="04A0" w:firstRow="1" w:lastRow="0" w:firstColumn="1" w:lastColumn="0" w:noHBand="0" w:noVBand="1"/>
      </w:tblPr>
      <w:tblGrid>
        <w:gridCol w:w="2117"/>
        <w:gridCol w:w="1984"/>
        <w:gridCol w:w="2677"/>
        <w:gridCol w:w="2623"/>
      </w:tblGrid>
      <w:tr w:rsidR="0046600D" w14:paraId="4EE1F353" w14:textId="77777777" w:rsidTr="00691932">
        <w:trPr>
          <w:trHeight w:val="912"/>
        </w:trPr>
        <w:tc>
          <w:tcPr>
            <w:tcW w:w="211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C77B528" w14:textId="77777777" w:rsidR="00886943" w:rsidRPr="00EF768C" w:rsidRDefault="00D77DFF" w:rsidP="00462410">
            <w:pPr>
              <w:jc w:val="both"/>
              <w:rPr>
                <w:b/>
                <w:bCs/>
                <w:sz w:val="18"/>
              </w:rPr>
            </w:pPr>
            <w:r w:rsidRPr="00EF768C">
              <w:rPr>
                <w:b/>
                <w:bCs/>
                <w:sz w:val="18"/>
              </w:rPr>
              <w:t>Předpis/článek</w:t>
            </w:r>
          </w:p>
        </w:tc>
        <w:tc>
          <w:tcPr>
            <w:tcW w:w="19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76D7C12" w14:textId="77777777" w:rsidR="00886943" w:rsidRPr="00EF768C" w:rsidRDefault="00D77DFF" w:rsidP="00462410">
            <w:pPr>
              <w:jc w:val="both"/>
              <w:rPr>
                <w:b/>
                <w:bCs/>
                <w:sz w:val="18"/>
              </w:rPr>
            </w:pPr>
            <w:r w:rsidRPr="00EF768C">
              <w:rPr>
                <w:b/>
                <w:bCs/>
                <w:sz w:val="18"/>
              </w:rPr>
              <w:t>Max. VP v</w:t>
            </w:r>
            <w:r w:rsidR="00810690" w:rsidRPr="00EF768C">
              <w:rPr>
                <w:b/>
                <w:bCs/>
                <w:sz w:val="18"/>
              </w:rPr>
              <w:t> </w:t>
            </w:r>
            <w:r w:rsidRPr="00EF768C">
              <w:rPr>
                <w:b/>
                <w:bCs/>
                <w:sz w:val="18"/>
              </w:rPr>
              <w:t>Praze</w:t>
            </w:r>
          </w:p>
        </w:tc>
        <w:tc>
          <w:tcPr>
            <w:tcW w:w="267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E3DB5BF" w14:textId="77777777" w:rsidR="00886943" w:rsidRPr="00EF768C" w:rsidRDefault="00D77DFF" w:rsidP="00462410">
            <w:pPr>
              <w:jc w:val="both"/>
              <w:rPr>
                <w:b/>
                <w:bCs/>
                <w:sz w:val="18"/>
              </w:rPr>
            </w:pPr>
            <w:r w:rsidRPr="00EF768C">
              <w:rPr>
                <w:b/>
                <w:bCs/>
                <w:sz w:val="18"/>
              </w:rPr>
              <w:t>Max VP pro regiony dle čl. 107 odst. 3 písm. a) Smlouvy o fungování EU</w:t>
            </w:r>
            <w:r>
              <w:rPr>
                <w:b/>
                <w:bCs/>
                <w:sz w:val="18"/>
                <w:vertAlign w:val="superscript"/>
              </w:rPr>
              <w:footnoteReference w:id="2"/>
            </w:r>
          </w:p>
        </w:tc>
        <w:tc>
          <w:tcPr>
            <w:tcW w:w="262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0726037" w14:textId="77777777" w:rsidR="00886943" w:rsidRPr="00EF768C" w:rsidRDefault="00D77DFF" w:rsidP="00462410">
            <w:pPr>
              <w:jc w:val="both"/>
              <w:rPr>
                <w:b/>
                <w:bCs/>
                <w:sz w:val="18"/>
              </w:rPr>
            </w:pPr>
            <w:r w:rsidRPr="00EF768C">
              <w:rPr>
                <w:b/>
                <w:bCs/>
                <w:sz w:val="18"/>
              </w:rPr>
              <w:t>Max VP pro regiony dle čl. 107 odst. 3 písm.  c) Smlouvy o fungování EU</w:t>
            </w:r>
            <w:r>
              <w:rPr>
                <w:b/>
                <w:bCs/>
                <w:sz w:val="18"/>
                <w:vertAlign w:val="superscript"/>
              </w:rPr>
              <w:footnoteReference w:id="3"/>
            </w:r>
          </w:p>
        </w:tc>
      </w:tr>
      <w:tr w:rsidR="0046600D" w14:paraId="2150EC09" w14:textId="77777777" w:rsidTr="00691932">
        <w:trPr>
          <w:trHeight w:val="769"/>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08CB8" w14:textId="77777777" w:rsidR="00886943" w:rsidRPr="00EF768C" w:rsidRDefault="00D77DFF" w:rsidP="00462410">
            <w:pPr>
              <w:jc w:val="both"/>
              <w:rPr>
                <w:bCs/>
                <w:sz w:val="18"/>
              </w:rPr>
            </w:pPr>
            <w:r w:rsidRPr="00EF768C">
              <w:rPr>
                <w:bCs/>
                <w:sz w:val="18"/>
              </w:rPr>
              <w:t>GBER 36</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0635951" w14:textId="77777777" w:rsidR="00886943" w:rsidRPr="00EF768C" w:rsidRDefault="00D77DFF" w:rsidP="00462410">
            <w:pPr>
              <w:jc w:val="both"/>
              <w:rPr>
                <w:bCs/>
                <w:sz w:val="18"/>
              </w:rPr>
            </w:pPr>
            <w:r w:rsidRPr="00EF768C">
              <w:rPr>
                <w:bCs/>
                <w:sz w:val="18"/>
              </w:rPr>
              <w:t>40 % (SP + 10 %, MP + 20 %)</w:t>
            </w:r>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14:paraId="3E665689" w14:textId="77777777" w:rsidR="00886943" w:rsidRPr="00EF768C" w:rsidRDefault="00D77DFF" w:rsidP="00462410">
            <w:pPr>
              <w:jc w:val="both"/>
              <w:rPr>
                <w:bCs/>
                <w:sz w:val="18"/>
              </w:rPr>
            </w:pPr>
            <w:r w:rsidRPr="00EF768C">
              <w:rPr>
                <w:bCs/>
                <w:sz w:val="18"/>
              </w:rPr>
              <w:t>55 % (SP + 10 %, MP +    20 %)</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7712A500" w14:textId="77777777" w:rsidR="00886943" w:rsidRPr="00EF768C" w:rsidRDefault="00D77DFF" w:rsidP="00462410">
            <w:pPr>
              <w:jc w:val="both"/>
              <w:rPr>
                <w:bCs/>
                <w:sz w:val="18"/>
              </w:rPr>
            </w:pPr>
            <w:r w:rsidRPr="00EF768C">
              <w:rPr>
                <w:bCs/>
                <w:sz w:val="18"/>
              </w:rPr>
              <w:t>45 % (SP + 10 %, MP +   20 %)</w:t>
            </w:r>
          </w:p>
        </w:tc>
      </w:tr>
    </w:tbl>
    <w:p w14:paraId="387BD2A3" w14:textId="77777777" w:rsidR="009A543C" w:rsidRDefault="00D77DFF" w:rsidP="00462410">
      <w:pPr>
        <w:pStyle w:val="OM-nadpis5"/>
        <w:rPr>
          <w:lang w:bidi="cs-CZ"/>
        </w:rPr>
      </w:pPr>
      <w:r w:rsidRPr="009A543C">
        <w:rPr>
          <w:lang w:bidi="cs-CZ"/>
        </w:rPr>
        <w:t>Investiční podpora na dobíjecí infrastrukturu nebo infrastrukturu plnicích stanic (článek 36a)</w:t>
      </w:r>
    </w:p>
    <w:p w14:paraId="014C87FE" w14:textId="77777777" w:rsidR="001F0E7E" w:rsidRDefault="00D77DFF" w:rsidP="00462410">
      <w:pPr>
        <w:jc w:val="both"/>
        <w:rPr>
          <w:lang w:bidi="cs-CZ"/>
        </w:rPr>
      </w:pPr>
      <w:r>
        <w:rPr>
          <w:lang w:bidi="cs-CZ"/>
        </w:rPr>
        <w:t>Způsobilými náklady jsou náklady na výstavbu, instalaci, modernizaci nebo rozšíření dobíjecích stanic, nebo plnicích stanic na vodík. Lze zahrnout i náklady na výrobu nebo</w:t>
      </w:r>
      <w:r w:rsidR="007D3F19">
        <w:rPr>
          <w:lang w:bidi="cs-CZ"/>
        </w:rPr>
        <w:t> </w:t>
      </w:r>
      <w:r>
        <w:rPr>
          <w:lang w:bidi="cs-CZ"/>
        </w:rPr>
        <w:t>skladování v místě.</w:t>
      </w:r>
    </w:p>
    <w:p w14:paraId="7009C767" w14:textId="77777777" w:rsidR="001F0E7E" w:rsidRDefault="00D77DFF" w:rsidP="00462410">
      <w:pPr>
        <w:jc w:val="both"/>
        <w:rPr>
          <w:lang w:bidi="cs-CZ"/>
        </w:rPr>
      </w:pPr>
      <w:r>
        <w:rPr>
          <w:lang w:bidi="cs-CZ"/>
        </w:rPr>
        <w:t>V rámci NPŽP budou podporovány pouze takové plnící nebo dobíjecí stanice, které slouží pro vlastní potřebu žadatele.</w:t>
      </w:r>
    </w:p>
    <w:p w14:paraId="4233BA19" w14:textId="77777777" w:rsidR="001F0E7E" w:rsidRDefault="00D77DFF" w:rsidP="00462410">
      <w:pPr>
        <w:jc w:val="both"/>
        <w:rPr>
          <w:lang w:bidi="cs-CZ"/>
        </w:rPr>
      </w:pPr>
      <w:r>
        <w:rPr>
          <w:lang w:bidi="cs-CZ"/>
        </w:rPr>
        <w:t>Nad rámec standardních příloh musí být doloženo čestné prohlášení k inkasnímu příkazu.</w:t>
      </w:r>
    </w:p>
    <w:p w14:paraId="557723E0" w14:textId="77777777" w:rsidR="001F0E7E" w:rsidRDefault="00D77DFF" w:rsidP="00462410">
      <w:pPr>
        <w:jc w:val="both"/>
        <w:rPr>
          <w:lang w:bidi="cs-CZ"/>
        </w:rPr>
      </w:pPr>
      <w:r>
        <w:rPr>
          <w:lang w:bidi="cs-CZ"/>
        </w:rPr>
        <w:t>Individuální notifikační práh je 30 mil EUR.</w:t>
      </w:r>
    </w:p>
    <w:p w14:paraId="56A83D90" w14:textId="77777777" w:rsidR="009A543C" w:rsidRDefault="00D77DFF" w:rsidP="00462410">
      <w:pPr>
        <w:jc w:val="both"/>
        <w:rPr>
          <w:lang w:bidi="cs-CZ"/>
        </w:rPr>
      </w:pPr>
      <w:r>
        <w:rPr>
          <w:lang w:bidi="cs-CZ"/>
        </w:rPr>
        <w:t>Podpora je omezena procentní intenzitou dle tabulky níže:</w:t>
      </w:r>
    </w:p>
    <w:tbl>
      <w:tblPr>
        <w:tblW w:w="9401" w:type="dxa"/>
        <w:tblCellMar>
          <w:left w:w="0" w:type="dxa"/>
          <w:right w:w="0" w:type="dxa"/>
        </w:tblCellMar>
        <w:tblLook w:val="04A0" w:firstRow="1" w:lastRow="0" w:firstColumn="1" w:lastColumn="0" w:noHBand="0" w:noVBand="1"/>
      </w:tblPr>
      <w:tblGrid>
        <w:gridCol w:w="2117"/>
        <w:gridCol w:w="1984"/>
        <w:gridCol w:w="2677"/>
        <w:gridCol w:w="2623"/>
      </w:tblGrid>
      <w:tr w:rsidR="0046600D" w14:paraId="02536AC7" w14:textId="77777777" w:rsidTr="00C719B3">
        <w:trPr>
          <w:trHeight w:val="912"/>
        </w:trPr>
        <w:tc>
          <w:tcPr>
            <w:tcW w:w="211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4E9A74" w14:textId="77777777" w:rsidR="001F0E7E" w:rsidRPr="00EF768C" w:rsidRDefault="00D77DFF" w:rsidP="00462410">
            <w:pPr>
              <w:jc w:val="both"/>
              <w:rPr>
                <w:b/>
                <w:bCs/>
                <w:sz w:val="18"/>
              </w:rPr>
            </w:pPr>
            <w:r w:rsidRPr="00EF768C">
              <w:rPr>
                <w:b/>
                <w:bCs/>
                <w:sz w:val="18"/>
              </w:rPr>
              <w:t>Předpis/článek</w:t>
            </w:r>
          </w:p>
        </w:tc>
        <w:tc>
          <w:tcPr>
            <w:tcW w:w="19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587FF26" w14:textId="77777777" w:rsidR="001F0E7E" w:rsidRPr="00EF768C" w:rsidRDefault="00D77DFF" w:rsidP="00462410">
            <w:pPr>
              <w:jc w:val="both"/>
              <w:rPr>
                <w:b/>
                <w:bCs/>
                <w:sz w:val="18"/>
              </w:rPr>
            </w:pPr>
            <w:r w:rsidRPr="00EF768C">
              <w:rPr>
                <w:b/>
                <w:bCs/>
                <w:sz w:val="18"/>
              </w:rPr>
              <w:t>Max. VP v Praze</w:t>
            </w:r>
          </w:p>
        </w:tc>
        <w:tc>
          <w:tcPr>
            <w:tcW w:w="267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D5438AF" w14:textId="77777777" w:rsidR="001F0E7E" w:rsidRPr="00EF768C" w:rsidRDefault="00D77DFF" w:rsidP="00462410">
            <w:pPr>
              <w:jc w:val="both"/>
              <w:rPr>
                <w:b/>
                <w:bCs/>
                <w:sz w:val="18"/>
              </w:rPr>
            </w:pPr>
            <w:r w:rsidRPr="00EF768C">
              <w:rPr>
                <w:b/>
                <w:bCs/>
                <w:sz w:val="18"/>
              </w:rPr>
              <w:t>Max VP pro regiony dle čl. 107 odst. 3 písm. a) Smlouvy o fungování EU</w:t>
            </w:r>
          </w:p>
        </w:tc>
        <w:tc>
          <w:tcPr>
            <w:tcW w:w="262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30F704A" w14:textId="77777777" w:rsidR="001F0E7E" w:rsidRPr="00EF768C" w:rsidRDefault="00D77DFF" w:rsidP="00462410">
            <w:pPr>
              <w:jc w:val="both"/>
              <w:rPr>
                <w:b/>
                <w:bCs/>
                <w:sz w:val="18"/>
              </w:rPr>
            </w:pPr>
            <w:r w:rsidRPr="00EF768C">
              <w:rPr>
                <w:b/>
                <w:bCs/>
                <w:sz w:val="18"/>
              </w:rPr>
              <w:t>Max VP pro regiony dle čl. 107 odst. 3 písm.  c) Smlouvy o fungování EU</w:t>
            </w:r>
          </w:p>
        </w:tc>
      </w:tr>
      <w:tr w:rsidR="0046600D" w14:paraId="2AED58F1" w14:textId="77777777" w:rsidTr="00C719B3">
        <w:trPr>
          <w:trHeight w:val="769"/>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3407FF" w14:textId="77777777" w:rsidR="001F0E7E" w:rsidRPr="00EF768C" w:rsidRDefault="00D77DFF" w:rsidP="00462410">
            <w:pPr>
              <w:jc w:val="both"/>
              <w:rPr>
                <w:bCs/>
                <w:sz w:val="18"/>
              </w:rPr>
            </w:pPr>
            <w:r w:rsidRPr="00EF768C">
              <w:rPr>
                <w:bCs/>
                <w:sz w:val="18"/>
              </w:rPr>
              <w:t>GBER 36 b)</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82398D9" w14:textId="77777777" w:rsidR="001F0E7E" w:rsidRPr="00EF768C" w:rsidRDefault="00D77DFF" w:rsidP="00462410">
            <w:pPr>
              <w:jc w:val="both"/>
              <w:rPr>
                <w:bCs/>
                <w:sz w:val="18"/>
              </w:rPr>
            </w:pPr>
            <w:r w:rsidRPr="00EF768C">
              <w:rPr>
                <w:bCs/>
                <w:sz w:val="18"/>
              </w:rPr>
              <w:t xml:space="preserve">20 % </w:t>
            </w:r>
          </w:p>
          <w:p w14:paraId="18AB9F84" w14:textId="77777777" w:rsidR="001F0E7E" w:rsidRPr="00EF768C" w:rsidRDefault="00D77DFF" w:rsidP="00462410">
            <w:pPr>
              <w:jc w:val="both"/>
              <w:rPr>
                <w:bCs/>
                <w:sz w:val="18"/>
              </w:rPr>
            </w:pPr>
            <w:r w:rsidRPr="00EF768C">
              <w:rPr>
                <w:bCs/>
                <w:sz w:val="18"/>
              </w:rPr>
              <w:t>Bonus SP 20 % a MP 30 %</w:t>
            </w:r>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14:paraId="0B1346E6" w14:textId="77777777" w:rsidR="001F0E7E" w:rsidRPr="00EF768C" w:rsidRDefault="00D77DFF" w:rsidP="00462410">
            <w:pPr>
              <w:jc w:val="both"/>
              <w:rPr>
                <w:bCs/>
                <w:sz w:val="18"/>
              </w:rPr>
            </w:pPr>
            <w:r w:rsidRPr="00EF768C">
              <w:rPr>
                <w:bCs/>
                <w:sz w:val="18"/>
              </w:rPr>
              <w:t xml:space="preserve">35 % </w:t>
            </w:r>
          </w:p>
          <w:p w14:paraId="7D93A504" w14:textId="77777777" w:rsidR="001F0E7E" w:rsidRPr="00EF768C" w:rsidRDefault="00D77DFF" w:rsidP="00462410">
            <w:pPr>
              <w:jc w:val="both"/>
              <w:rPr>
                <w:bCs/>
                <w:sz w:val="18"/>
              </w:rPr>
            </w:pPr>
            <w:r w:rsidRPr="00EF768C">
              <w:rPr>
                <w:bCs/>
                <w:sz w:val="18"/>
              </w:rPr>
              <w:t>Bonus SP 20 % a MP 30 %</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242E84E3" w14:textId="77777777" w:rsidR="001F0E7E" w:rsidRPr="00EF768C" w:rsidRDefault="00D77DFF" w:rsidP="00462410">
            <w:pPr>
              <w:jc w:val="both"/>
              <w:rPr>
                <w:bCs/>
                <w:sz w:val="18"/>
              </w:rPr>
            </w:pPr>
            <w:r w:rsidRPr="00EF768C">
              <w:rPr>
                <w:bCs/>
                <w:sz w:val="18"/>
              </w:rPr>
              <w:t xml:space="preserve">25 % </w:t>
            </w:r>
          </w:p>
          <w:p w14:paraId="27ACCAD0" w14:textId="77777777" w:rsidR="001F0E7E" w:rsidRPr="00EF768C" w:rsidRDefault="00D77DFF" w:rsidP="00462410">
            <w:pPr>
              <w:jc w:val="both"/>
              <w:rPr>
                <w:bCs/>
                <w:sz w:val="18"/>
              </w:rPr>
            </w:pPr>
            <w:r w:rsidRPr="00EF768C">
              <w:rPr>
                <w:bCs/>
                <w:sz w:val="18"/>
              </w:rPr>
              <w:t>Bonus SP 20 % a MP 30 %</w:t>
            </w:r>
          </w:p>
        </w:tc>
      </w:tr>
    </w:tbl>
    <w:p w14:paraId="6E79E50C" w14:textId="77777777" w:rsidR="001636B3" w:rsidRPr="001636B3" w:rsidRDefault="00D77DFF" w:rsidP="00462410">
      <w:pPr>
        <w:pStyle w:val="OM-nadpis5"/>
        <w:rPr>
          <w:lang w:bidi="cs-CZ"/>
        </w:rPr>
      </w:pPr>
      <w:r w:rsidRPr="001636B3">
        <w:rPr>
          <w:lang w:bidi="cs-CZ"/>
        </w:rPr>
        <w:t>Investiční podpora na pořízení čistých vozidel nebo vozidel s</w:t>
      </w:r>
      <w:r w:rsidR="00CE630D">
        <w:rPr>
          <w:lang w:bidi="cs-CZ"/>
        </w:rPr>
        <w:t> </w:t>
      </w:r>
      <w:r w:rsidRPr="001636B3">
        <w:rPr>
          <w:lang w:bidi="cs-CZ"/>
        </w:rPr>
        <w:t>nulovými emisemi a na modernizaci vozidel (článek 36b)</w:t>
      </w:r>
    </w:p>
    <w:p w14:paraId="5554F2D9" w14:textId="77777777" w:rsidR="001636B3" w:rsidRPr="001636B3" w:rsidRDefault="00D77DFF" w:rsidP="00462410">
      <w:pPr>
        <w:jc w:val="both"/>
        <w:rPr>
          <w:lang w:bidi="cs-CZ"/>
        </w:rPr>
      </w:pPr>
      <w:r w:rsidRPr="001636B3">
        <w:rPr>
          <w:lang w:bidi="cs-CZ"/>
        </w:rPr>
        <w:t xml:space="preserve">Podporu lze poskytnout na nákup čistých vozidel, nebo vozidel s nulovými emisemi, </w:t>
      </w:r>
      <w:r w:rsidR="007D3F19">
        <w:rPr>
          <w:lang w:bidi="cs-CZ"/>
        </w:rPr>
        <w:br/>
      </w:r>
      <w:r w:rsidRPr="001636B3">
        <w:rPr>
          <w:lang w:bidi="cs-CZ"/>
        </w:rPr>
        <w:t>nebo modernizaci vozidel za účelem splnění požadavků na čistá vozidla, nebo vozidla s nulovými emisemi</w:t>
      </w:r>
    </w:p>
    <w:p w14:paraId="36F5417B" w14:textId="77777777" w:rsidR="001636B3" w:rsidRPr="001636B3" w:rsidRDefault="00D77DFF" w:rsidP="00462410">
      <w:pPr>
        <w:jc w:val="both"/>
        <w:rPr>
          <w:lang w:bidi="cs-CZ"/>
        </w:rPr>
      </w:pPr>
      <w:r w:rsidRPr="001636B3">
        <w:rPr>
          <w:lang w:bidi="cs-CZ"/>
        </w:rPr>
        <w:lastRenderedPageBreak/>
        <w:t>Způsobilé výdaje se stanoví jako rozdíl mezi investičními náklady na nákup čistého vozidla, nebo vozidla s nulovými emisemi a náklady na vozidlo stejné třídy, které plní současně platnou normu.</w:t>
      </w:r>
    </w:p>
    <w:p w14:paraId="79DDCC91" w14:textId="77777777" w:rsidR="001636B3" w:rsidRPr="001636B3" w:rsidRDefault="00D77DFF" w:rsidP="00462410">
      <w:pPr>
        <w:jc w:val="both"/>
        <w:rPr>
          <w:lang w:bidi="cs-CZ"/>
        </w:rPr>
      </w:pPr>
      <w:r w:rsidRPr="001636B3">
        <w:rPr>
          <w:lang w:bidi="cs-CZ"/>
        </w:rPr>
        <w:t>Nad rámec standardních příloh musí být doloženo čestné prohlášení k inkasnímu příkazu.</w:t>
      </w:r>
    </w:p>
    <w:p w14:paraId="4CFDE26B" w14:textId="77777777" w:rsidR="00810690" w:rsidRPr="001636B3" w:rsidRDefault="00D77DFF" w:rsidP="00462410">
      <w:pPr>
        <w:jc w:val="both"/>
        <w:rPr>
          <w:lang w:bidi="cs-CZ"/>
        </w:rPr>
      </w:pPr>
      <w:r w:rsidRPr="001636B3">
        <w:rPr>
          <w:lang w:bidi="cs-CZ"/>
        </w:rPr>
        <w:t xml:space="preserve">Individuální </w:t>
      </w:r>
      <w:r w:rsidRPr="00810690">
        <w:rPr>
          <w:lang w:bidi="cs-CZ"/>
        </w:rPr>
        <w:t>notifikační práh</w:t>
      </w:r>
      <w:r w:rsidR="004918AB">
        <w:rPr>
          <w:lang w:bidi="cs-CZ"/>
        </w:rPr>
        <w:t xml:space="preserve"> je </w:t>
      </w:r>
      <w:r w:rsidRPr="001636B3">
        <w:rPr>
          <w:lang w:bidi="cs-CZ"/>
        </w:rPr>
        <w:t xml:space="preserve">30 mil </w:t>
      </w:r>
      <w:r w:rsidR="004918AB">
        <w:rPr>
          <w:lang w:bidi="cs-CZ"/>
        </w:rPr>
        <w:t>EUR</w:t>
      </w:r>
      <w:r>
        <w:rPr>
          <w:lang w:bidi="cs-CZ"/>
        </w:rPr>
        <w:t>.</w:t>
      </w:r>
    </w:p>
    <w:p w14:paraId="42E3F392" w14:textId="77777777" w:rsidR="00116366" w:rsidRDefault="00D77DFF" w:rsidP="00462410">
      <w:pPr>
        <w:jc w:val="both"/>
      </w:pPr>
      <w:r w:rsidRPr="001636B3">
        <w:t>Podpora je omezena procentní intenzitou dle tabulky níže:</w:t>
      </w:r>
    </w:p>
    <w:tbl>
      <w:tblPr>
        <w:tblW w:w="9401" w:type="dxa"/>
        <w:tblCellMar>
          <w:left w:w="0" w:type="dxa"/>
          <w:right w:w="0" w:type="dxa"/>
        </w:tblCellMar>
        <w:tblLook w:val="04A0" w:firstRow="1" w:lastRow="0" w:firstColumn="1" w:lastColumn="0" w:noHBand="0" w:noVBand="1"/>
      </w:tblPr>
      <w:tblGrid>
        <w:gridCol w:w="2117"/>
        <w:gridCol w:w="1984"/>
        <w:gridCol w:w="2677"/>
        <w:gridCol w:w="2623"/>
      </w:tblGrid>
      <w:tr w:rsidR="0046600D" w14:paraId="30FAAEEA" w14:textId="77777777" w:rsidTr="00691932">
        <w:trPr>
          <w:trHeight w:val="912"/>
        </w:trPr>
        <w:tc>
          <w:tcPr>
            <w:tcW w:w="211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E03F391" w14:textId="77777777" w:rsidR="00116366" w:rsidRPr="00321C51" w:rsidRDefault="00D77DFF" w:rsidP="00462410">
            <w:pPr>
              <w:jc w:val="both"/>
              <w:rPr>
                <w:b/>
                <w:bCs/>
                <w:sz w:val="18"/>
              </w:rPr>
            </w:pPr>
            <w:r w:rsidRPr="00321C51">
              <w:rPr>
                <w:b/>
                <w:bCs/>
                <w:sz w:val="18"/>
              </w:rPr>
              <w:t>Předpis/článek</w:t>
            </w:r>
          </w:p>
        </w:tc>
        <w:tc>
          <w:tcPr>
            <w:tcW w:w="19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8A3DF1D" w14:textId="77777777" w:rsidR="00116366" w:rsidRPr="00321C51" w:rsidRDefault="00D77DFF" w:rsidP="00462410">
            <w:pPr>
              <w:jc w:val="both"/>
              <w:rPr>
                <w:b/>
                <w:bCs/>
                <w:sz w:val="18"/>
              </w:rPr>
            </w:pPr>
            <w:r w:rsidRPr="00321C51">
              <w:rPr>
                <w:b/>
                <w:bCs/>
                <w:sz w:val="18"/>
              </w:rPr>
              <w:t>Max. VP v Praze</w:t>
            </w:r>
          </w:p>
        </w:tc>
        <w:tc>
          <w:tcPr>
            <w:tcW w:w="267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1B3226C" w14:textId="77777777" w:rsidR="00116366" w:rsidRPr="00321C51" w:rsidRDefault="00D77DFF" w:rsidP="00462410">
            <w:pPr>
              <w:jc w:val="both"/>
              <w:rPr>
                <w:b/>
                <w:bCs/>
                <w:sz w:val="18"/>
              </w:rPr>
            </w:pPr>
            <w:r w:rsidRPr="00321C51">
              <w:rPr>
                <w:b/>
                <w:bCs/>
                <w:sz w:val="18"/>
              </w:rPr>
              <w:t xml:space="preserve">Max VP pro regiony dle čl. 107 odst. 3 písm. a) Smlouvy o fungování EU </w:t>
            </w:r>
          </w:p>
        </w:tc>
        <w:tc>
          <w:tcPr>
            <w:tcW w:w="262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03C3644" w14:textId="77777777" w:rsidR="00116366" w:rsidRPr="00321C51" w:rsidRDefault="00D77DFF" w:rsidP="00462410">
            <w:pPr>
              <w:jc w:val="both"/>
              <w:rPr>
                <w:b/>
                <w:bCs/>
                <w:sz w:val="18"/>
              </w:rPr>
            </w:pPr>
            <w:r w:rsidRPr="00321C51">
              <w:rPr>
                <w:b/>
                <w:bCs/>
                <w:sz w:val="18"/>
              </w:rPr>
              <w:t>Max VP pro regiony dle čl. 107 odst. 3 písm.  c) Smlouvy o fungování EU</w:t>
            </w:r>
          </w:p>
        </w:tc>
      </w:tr>
      <w:tr w:rsidR="0046600D" w14:paraId="7F46531A" w14:textId="77777777" w:rsidTr="00691932">
        <w:trPr>
          <w:trHeight w:val="769"/>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51A2E" w14:textId="77777777" w:rsidR="00116366" w:rsidRPr="00321C51" w:rsidRDefault="00D77DFF" w:rsidP="00462410">
            <w:pPr>
              <w:jc w:val="both"/>
              <w:rPr>
                <w:bCs/>
                <w:sz w:val="18"/>
              </w:rPr>
            </w:pPr>
            <w:r w:rsidRPr="00321C51">
              <w:rPr>
                <w:bCs/>
                <w:sz w:val="18"/>
              </w:rPr>
              <w:t>GBER 36 b)</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09A2203" w14:textId="77777777" w:rsidR="00116366" w:rsidRPr="00321C51" w:rsidRDefault="00D77DFF" w:rsidP="00462410">
            <w:pPr>
              <w:jc w:val="both"/>
              <w:rPr>
                <w:bCs/>
                <w:sz w:val="18"/>
              </w:rPr>
            </w:pPr>
            <w:r w:rsidRPr="00321C51">
              <w:rPr>
                <w:bCs/>
                <w:sz w:val="18"/>
              </w:rPr>
              <w:t>20 % čistá auta</w:t>
            </w:r>
          </w:p>
          <w:p w14:paraId="6417BBFB" w14:textId="77777777" w:rsidR="00116366" w:rsidRPr="00321C51" w:rsidRDefault="00D77DFF" w:rsidP="00462410">
            <w:pPr>
              <w:jc w:val="both"/>
              <w:rPr>
                <w:bCs/>
                <w:sz w:val="18"/>
              </w:rPr>
            </w:pPr>
            <w:r w:rsidRPr="00321C51">
              <w:rPr>
                <w:bCs/>
                <w:sz w:val="18"/>
              </w:rPr>
              <w:t>30 % auta s nulovými emisemi</w:t>
            </w:r>
          </w:p>
          <w:p w14:paraId="7D9385CA" w14:textId="77777777" w:rsidR="00116366" w:rsidRPr="00321C51" w:rsidRDefault="00D77DFF" w:rsidP="00462410">
            <w:pPr>
              <w:jc w:val="both"/>
              <w:rPr>
                <w:bCs/>
                <w:sz w:val="18"/>
              </w:rPr>
            </w:pPr>
            <w:r w:rsidRPr="00321C51">
              <w:rPr>
                <w:bCs/>
                <w:sz w:val="18"/>
              </w:rPr>
              <w:t>Bonus SP 20 % a MP 30 %</w:t>
            </w:r>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14:paraId="1F808F05" w14:textId="77777777" w:rsidR="00116366" w:rsidRPr="00321C51" w:rsidRDefault="00D77DFF" w:rsidP="00462410">
            <w:pPr>
              <w:jc w:val="both"/>
              <w:rPr>
                <w:bCs/>
                <w:sz w:val="18"/>
              </w:rPr>
            </w:pPr>
            <w:r w:rsidRPr="00321C51">
              <w:rPr>
                <w:bCs/>
                <w:sz w:val="18"/>
              </w:rPr>
              <w:t>20 % čistá auta</w:t>
            </w:r>
          </w:p>
          <w:p w14:paraId="21FB7761" w14:textId="77777777" w:rsidR="00116366" w:rsidRPr="00321C51" w:rsidRDefault="00D77DFF" w:rsidP="00462410">
            <w:pPr>
              <w:jc w:val="both"/>
              <w:rPr>
                <w:bCs/>
                <w:sz w:val="18"/>
              </w:rPr>
            </w:pPr>
            <w:r w:rsidRPr="00321C51">
              <w:rPr>
                <w:bCs/>
                <w:sz w:val="18"/>
              </w:rPr>
              <w:t>30 % auta s nulovými emisemi</w:t>
            </w:r>
          </w:p>
          <w:p w14:paraId="471F7F6E" w14:textId="77777777" w:rsidR="00116366" w:rsidRPr="00321C51" w:rsidRDefault="00D77DFF" w:rsidP="00462410">
            <w:pPr>
              <w:jc w:val="both"/>
              <w:rPr>
                <w:bCs/>
                <w:sz w:val="18"/>
              </w:rPr>
            </w:pPr>
            <w:r w:rsidRPr="00321C51">
              <w:rPr>
                <w:bCs/>
                <w:sz w:val="18"/>
              </w:rPr>
              <w:t>Bonus SP 20 % a MP 30 %</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1E688BD6" w14:textId="77777777" w:rsidR="00116366" w:rsidRPr="00321C51" w:rsidRDefault="00D77DFF" w:rsidP="00462410">
            <w:pPr>
              <w:jc w:val="both"/>
              <w:rPr>
                <w:bCs/>
                <w:sz w:val="18"/>
              </w:rPr>
            </w:pPr>
            <w:r w:rsidRPr="00321C51">
              <w:rPr>
                <w:bCs/>
                <w:sz w:val="18"/>
              </w:rPr>
              <w:t>20 % čistá auta</w:t>
            </w:r>
          </w:p>
          <w:p w14:paraId="2BC9414C" w14:textId="77777777" w:rsidR="00116366" w:rsidRPr="00321C51" w:rsidRDefault="00D77DFF" w:rsidP="00462410">
            <w:pPr>
              <w:jc w:val="both"/>
              <w:rPr>
                <w:bCs/>
                <w:sz w:val="18"/>
              </w:rPr>
            </w:pPr>
            <w:r w:rsidRPr="00321C51">
              <w:rPr>
                <w:bCs/>
                <w:sz w:val="18"/>
              </w:rPr>
              <w:t>30 % auta s nulovými emisemi</w:t>
            </w:r>
          </w:p>
          <w:p w14:paraId="62DACF0F" w14:textId="77777777" w:rsidR="00116366" w:rsidRPr="00321C51" w:rsidRDefault="00D77DFF" w:rsidP="00462410">
            <w:pPr>
              <w:jc w:val="both"/>
              <w:rPr>
                <w:bCs/>
                <w:sz w:val="18"/>
              </w:rPr>
            </w:pPr>
            <w:r w:rsidRPr="00321C51">
              <w:rPr>
                <w:bCs/>
                <w:sz w:val="18"/>
              </w:rPr>
              <w:t>Bonus SP 20 % a MP 30 %</w:t>
            </w:r>
          </w:p>
        </w:tc>
      </w:tr>
    </w:tbl>
    <w:p w14:paraId="47EF18C9" w14:textId="77777777" w:rsidR="006210BC" w:rsidRPr="006210BC" w:rsidRDefault="00D77DFF" w:rsidP="00462410">
      <w:pPr>
        <w:pStyle w:val="OM-nadpis5"/>
        <w:rPr>
          <w:lang w:bidi="cs-CZ"/>
        </w:rPr>
      </w:pPr>
      <w:bookmarkStart w:id="5" w:name="_Hlk155793101"/>
      <w:r w:rsidRPr="006210BC">
        <w:rPr>
          <w:lang w:bidi="cs-CZ"/>
        </w:rPr>
        <w:t>Investiční podpora na opatření ke zvýšení energetické účinnosti v</w:t>
      </w:r>
      <w:r w:rsidR="00CE630D">
        <w:rPr>
          <w:lang w:bidi="cs-CZ"/>
        </w:rPr>
        <w:t> </w:t>
      </w:r>
      <w:r w:rsidRPr="006210BC">
        <w:rPr>
          <w:lang w:bidi="cs-CZ"/>
        </w:rPr>
        <w:t>budovách (článek 38a)</w:t>
      </w:r>
    </w:p>
    <w:p w14:paraId="3A96B91A" w14:textId="77777777" w:rsidR="006210BC" w:rsidRPr="006210BC" w:rsidRDefault="00D77DFF" w:rsidP="00462410">
      <w:pPr>
        <w:jc w:val="both"/>
        <w:rPr>
          <w:lang w:bidi="cs-CZ"/>
        </w:rPr>
      </w:pPr>
      <w:r w:rsidRPr="006210BC">
        <w:rPr>
          <w:lang w:bidi="cs-CZ"/>
        </w:rPr>
        <w:t>Vhodná pro všechny typy přijatelných projektů rekonstrukcí budov, u nichž dochází</w:t>
      </w:r>
      <w:r w:rsidR="00CE630D">
        <w:rPr>
          <w:lang w:bidi="cs-CZ"/>
        </w:rPr>
        <w:t> k </w:t>
      </w:r>
      <w:r w:rsidRPr="006210BC">
        <w:rPr>
          <w:lang w:bidi="cs-CZ"/>
        </w:rPr>
        <w:t xml:space="preserve">úspoře energie. </w:t>
      </w:r>
    </w:p>
    <w:p w14:paraId="4347EB5E" w14:textId="77777777" w:rsidR="006210BC" w:rsidRPr="006210BC" w:rsidRDefault="00D77DFF" w:rsidP="00462410">
      <w:pPr>
        <w:jc w:val="both"/>
        <w:rPr>
          <w:lang w:bidi="cs-CZ"/>
        </w:rPr>
      </w:pPr>
      <w:r w:rsidRPr="006210BC">
        <w:rPr>
          <w:lang w:bidi="cs-CZ"/>
        </w:rPr>
        <w:t xml:space="preserve">Vhodná pro projety výstavby budov, kde dochází k úspoře energie ve srovnání s referenční budovou definovanou vyhláškou 264/2020 Sb. o energetické náročnosti budov. </w:t>
      </w:r>
    </w:p>
    <w:p w14:paraId="391D5595" w14:textId="77777777" w:rsidR="006210BC" w:rsidRPr="006210BC" w:rsidRDefault="00D77DFF" w:rsidP="00462410">
      <w:pPr>
        <w:jc w:val="both"/>
        <w:rPr>
          <w:lang w:bidi="cs-CZ"/>
        </w:rPr>
      </w:pPr>
      <w:r w:rsidRPr="006210BC">
        <w:rPr>
          <w:lang w:bidi="cs-CZ"/>
        </w:rPr>
        <w:t>Vzhledem k charakteru projektů není vyžadována alternativní investice.</w:t>
      </w:r>
    </w:p>
    <w:p w14:paraId="35690634" w14:textId="77777777" w:rsidR="006210BC" w:rsidRPr="006210BC" w:rsidRDefault="00D77DFF" w:rsidP="00462410">
      <w:pPr>
        <w:jc w:val="both"/>
        <w:rPr>
          <w:lang w:bidi="cs-CZ"/>
        </w:rPr>
      </w:pPr>
      <w:r w:rsidRPr="006210BC">
        <w:rPr>
          <w:lang w:bidi="cs-CZ"/>
        </w:rPr>
        <w:t>Nad rámec standardních příloh musí být doloženo čestné prohlášení k inkasnímu příkazu.</w:t>
      </w:r>
    </w:p>
    <w:p w14:paraId="191FC0E6" w14:textId="77777777" w:rsidR="006210BC" w:rsidRPr="006210BC" w:rsidRDefault="00D77DFF" w:rsidP="00462410">
      <w:pPr>
        <w:jc w:val="both"/>
        <w:rPr>
          <w:lang w:bidi="cs-CZ"/>
        </w:rPr>
      </w:pPr>
      <w:r w:rsidRPr="006210BC">
        <w:rPr>
          <w:lang w:bidi="cs-CZ"/>
        </w:rPr>
        <w:t xml:space="preserve">Individuální notifikační práh je 30 mil. </w:t>
      </w:r>
      <w:r w:rsidR="004918AB">
        <w:rPr>
          <w:lang w:bidi="cs-CZ"/>
        </w:rPr>
        <w:t>EUR</w:t>
      </w:r>
      <w:r w:rsidRPr="006210BC">
        <w:rPr>
          <w:lang w:bidi="cs-CZ"/>
        </w:rPr>
        <w:t xml:space="preserve">.  </w:t>
      </w:r>
    </w:p>
    <w:p w14:paraId="72380062" w14:textId="77777777" w:rsidR="006210BC" w:rsidRPr="006210BC" w:rsidRDefault="00D77DFF" w:rsidP="00462410">
      <w:pPr>
        <w:jc w:val="both"/>
        <w:rPr>
          <w:lang w:bidi="cs-CZ"/>
        </w:rPr>
      </w:pPr>
      <w:r w:rsidRPr="006210BC">
        <w:rPr>
          <w:lang w:bidi="cs-CZ"/>
        </w:rPr>
        <w:t>Podpora je omezena procentní intenzitou dle tabulky níže:</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58"/>
        <w:gridCol w:w="1418"/>
        <w:gridCol w:w="2835"/>
        <w:gridCol w:w="2835"/>
      </w:tblGrid>
      <w:tr w:rsidR="0046600D" w14:paraId="104F37F4" w14:textId="77777777" w:rsidTr="00691932">
        <w:tc>
          <w:tcPr>
            <w:tcW w:w="1691" w:type="dxa"/>
            <w:shd w:val="clear" w:color="auto" w:fill="D9D9D9"/>
            <w:tcMar>
              <w:top w:w="0" w:type="dxa"/>
              <w:left w:w="108" w:type="dxa"/>
              <w:bottom w:w="0" w:type="dxa"/>
              <w:right w:w="108" w:type="dxa"/>
            </w:tcMar>
            <w:hideMark/>
          </w:tcPr>
          <w:p w14:paraId="69739EB8" w14:textId="77777777" w:rsidR="00220B38" w:rsidRPr="00321C51" w:rsidRDefault="00D77DFF" w:rsidP="00462410">
            <w:pPr>
              <w:jc w:val="both"/>
              <w:rPr>
                <w:b/>
                <w:bCs/>
                <w:sz w:val="18"/>
              </w:rPr>
            </w:pPr>
            <w:r w:rsidRPr="00321C51">
              <w:rPr>
                <w:b/>
                <w:bCs/>
                <w:sz w:val="18"/>
              </w:rPr>
              <w:t>Předpis/článek</w:t>
            </w:r>
          </w:p>
        </w:tc>
        <w:tc>
          <w:tcPr>
            <w:tcW w:w="1418" w:type="dxa"/>
            <w:shd w:val="clear" w:color="auto" w:fill="D9D9D9"/>
            <w:tcMar>
              <w:top w:w="0" w:type="dxa"/>
              <w:left w:w="108" w:type="dxa"/>
              <w:bottom w:w="0" w:type="dxa"/>
              <w:right w:w="108" w:type="dxa"/>
            </w:tcMar>
            <w:hideMark/>
          </w:tcPr>
          <w:p w14:paraId="139CE112" w14:textId="77777777" w:rsidR="00220B38" w:rsidRPr="00321C51" w:rsidRDefault="00D77DFF" w:rsidP="00462410">
            <w:pPr>
              <w:jc w:val="both"/>
              <w:rPr>
                <w:b/>
                <w:bCs/>
                <w:sz w:val="18"/>
              </w:rPr>
            </w:pPr>
            <w:r w:rsidRPr="00321C51">
              <w:rPr>
                <w:b/>
                <w:bCs/>
                <w:sz w:val="18"/>
              </w:rPr>
              <w:t>Max VP v Praze</w:t>
            </w:r>
          </w:p>
        </w:tc>
        <w:tc>
          <w:tcPr>
            <w:tcW w:w="2835" w:type="dxa"/>
            <w:shd w:val="clear" w:color="auto" w:fill="D9D9D9"/>
            <w:tcMar>
              <w:top w:w="0" w:type="dxa"/>
              <w:left w:w="108" w:type="dxa"/>
              <w:bottom w:w="0" w:type="dxa"/>
              <w:right w:w="108" w:type="dxa"/>
            </w:tcMar>
            <w:hideMark/>
          </w:tcPr>
          <w:p w14:paraId="04733C6B" w14:textId="77777777" w:rsidR="00220B38" w:rsidRPr="00321C51" w:rsidRDefault="00D77DFF" w:rsidP="00462410">
            <w:pPr>
              <w:jc w:val="both"/>
              <w:rPr>
                <w:b/>
                <w:bCs/>
                <w:sz w:val="18"/>
              </w:rPr>
            </w:pPr>
            <w:r w:rsidRPr="00321C51">
              <w:rPr>
                <w:b/>
                <w:bCs/>
                <w:sz w:val="18"/>
              </w:rPr>
              <w:t>Max VP pro regiony dle čl. 107 odst. 3 písm. a) Smlouvy o fungování EU</w:t>
            </w:r>
          </w:p>
        </w:tc>
        <w:tc>
          <w:tcPr>
            <w:tcW w:w="2835" w:type="dxa"/>
            <w:shd w:val="clear" w:color="auto" w:fill="D9D9D9"/>
            <w:tcMar>
              <w:top w:w="0" w:type="dxa"/>
              <w:left w:w="108" w:type="dxa"/>
              <w:bottom w:w="0" w:type="dxa"/>
              <w:right w:w="108" w:type="dxa"/>
            </w:tcMar>
            <w:hideMark/>
          </w:tcPr>
          <w:p w14:paraId="53E19648" w14:textId="77777777" w:rsidR="00220B38" w:rsidRPr="00321C51" w:rsidRDefault="00D77DFF" w:rsidP="00462410">
            <w:pPr>
              <w:jc w:val="both"/>
              <w:rPr>
                <w:bCs/>
                <w:sz w:val="18"/>
              </w:rPr>
            </w:pPr>
            <w:r w:rsidRPr="00321C51">
              <w:rPr>
                <w:b/>
                <w:bCs/>
                <w:sz w:val="18"/>
              </w:rPr>
              <w:t>Max VP pro regiony dle čl. 107 odst. 3 písm.  c) Smlouvy o fungování EU</w:t>
            </w:r>
            <w:r w:rsidRPr="00321C51">
              <w:rPr>
                <w:b/>
                <w:sz w:val="18"/>
              </w:rPr>
              <w:t xml:space="preserve"> </w:t>
            </w:r>
          </w:p>
        </w:tc>
      </w:tr>
      <w:tr w:rsidR="0046600D" w14:paraId="4AF245AA" w14:textId="77777777" w:rsidTr="00691932">
        <w:tc>
          <w:tcPr>
            <w:tcW w:w="1691" w:type="dxa"/>
            <w:tcMar>
              <w:top w:w="0" w:type="dxa"/>
              <w:left w:w="108" w:type="dxa"/>
              <w:bottom w:w="0" w:type="dxa"/>
              <w:right w:w="108" w:type="dxa"/>
            </w:tcMar>
            <w:hideMark/>
          </w:tcPr>
          <w:p w14:paraId="4A223F6A" w14:textId="77777777" w:rsidR="00220B38" w:rsidRPr="00321C51" w:rsidRDefault="00D77DFF" w:rsidP="00462410">
            <w:pPr>
              <w:jc w:val="both"/>
              <w:rPr>
                <w:bCs/>
                <w:sz w:val="18"/>
              </w:rPr>
            </w:pPr>
            <w:r w:rsidRPr="00321C51">
              <w:rPr>
                <w:bCs/>
                <w:sz w:val="18"/>
              </w:rPr>
              <w:t>GBER 38 a)</w:t>
            </w:r>
          </w:p>
        </w:tc>
        <w:tc>
          <w:tcPr>
            <w:tcW w:w="1418" w:type="dxa"/>
            <w:tcMar>
              <w:top w:w="0" w:type="dxa"/>
              <w:left w:w="108" w:type="dxa"/>
              <w:bottom w:w="0" w:type="dxa"/>
              <w:right w:w="108" w:type="dxa"/>
            </w:tcMar>
            <w:hideMark/>
          </w:tcPr>
          <w:p w14:paraId="1EE7B30E" w14:textId="77777777" w:rsidR="00220B38" w:rsidRPr="00321C51" w:rsidRDefault="00D77DFF" w:rsidP="00462410">
            <w:pPr>
              <w:jc w:val="both"/>
              <w:rPr>
                <w:bCs/>
                <w:sz w:val="18"/>
              </w:rPr>
            </w:pPr>
            <w:r w:rsidRPr="00321C51">
              <w:rPr>
                <w:bCs/>
                <w:sz w:val="18"/>
              </w:rPr>
              <w:t>30 % (SP + 10 %, MP + 20 %)</w:t>
            </w:r>
          </w:p>
        </w:tc>
        <w:tc>
          <w:tcPr>
            <w:tcW w:w="2835" w:type="dxa"/>
            <w:tcMar>
              <w:top w:w="0" w:type="dxa"/>
              <w:left w:w="108" w:type="dxa"/>
              <w:bottom w:w="0" w:type="dxa"/>
              <w:right w:w="108" w:type="dxa"/>
            </w:tcMar>
            <w:hideMark/>
          </w:tcPr>
          <w:p w14:paraId="39CCE8FE" w14:textId="77777777" w:rsidR="00220B38" w:rsidRPr="00321C51" w:rsidRDefault="00D77DFF" w:rsidP="00462410">
            <w:pPr>
              <w:jc w:val="both"/>
              <w:rPr>
                <w:bCs/>
                <w:sz w:val="18"/>
              </w:rPr>
            </w:pPr>
            <w:r w:rsidRPr="00321C51">
              <w:rPr>
                <w:bCs/>
                <w:sz w:val="18"/>
              </w:rPr>
              <w:t>45 % (SP + 10 %, MP + 20 %)</w:t>
            </w:r>
          </w:p>
        </w:tc>
        <w:tc>
          <w:tcPr>
            <w:tcW w:w="2835" w:type="dxa"/>
            <w:tcMar>
              <w:top w:w="0" w:type="dxa"/>
              <w:left w:w="108" w:type="dxa"/>
              <w:bottom w:w="0" w:type="dxa"/>
              <w:right w:w="108" w:type="dxa"/>
            </w:tcMar>
            <w:hideMark/>
          </w:tcPr>
          <w:p w14:paraId="05132800" w14:textId="77777777" w:rsidR="00220B38" w:rsidRPr="00321C51" w:rsidRDefault="00D77DFF" w:rsidP="00462410">
            <w:pPr>
              <w:jc w:val="both"/>
              <w:rPr>
                <w:bCs/>
                <w:sz w:val="18"/>
              </w:rPr>
            </w:pPr>
            <w:r w:rsidRPr="00321C51">
              <w:rPr>
                <w:bCs/>
                <w:sz w:val="18"/>
              </w:rPr>
              <w:t>35 % (SP + 10 %, MP + 20 %)</w:t>
            </w:r>
          </w:p>
        </w:tc>
      </w:tr>
    </w:tbl>
    <w:p w14:paraId="4B677767" w14:textId="77777777" w:rsidR="00886943" w:rsidRDefault="00886943" w:rsidP="00462410">
      <w:pPr>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58"/>
        <w:gridCol w:w="1418"/>
        <w:gridCol w:w="2835"/>
        <w:gridCol w:w="2835"/>
      </w:tblGrid>
      <w:tr w:rsidR="0046600D" w14:paraId="4F360C2A" w14:textId="77777777" w:rsidTr="00691932">
        <w:tc>
          <w:tcPr>
            <w:tcW w:w="1691" w:type="dxa"/>
            <w:shd w:val="clear" w:color="auto" w:fill="D9D9D9"/>
            <w:tcMar>
              <w:top w:w="0" w:type="dxa"/>
              <w:left w:w="108" w:type="dxa"/>
              <w:bottom w:w="0" w:type="dxa"/>
              <w:right w:w="108" w:type="dxa"/>
            </w:tcMar>
            <w:hideMark/>
          </w:tcPr>
          <w:p w14:paraId="5B5C92CB" w14:textId="77777777" w:rsidR="00220B38" w:rsidRPr="00321C51" w:rsidRDefault="00D77DFF" w:rsidP="00462410">
            <w:pPr>
              <w:jc w:val="both"/>
              <w:rPr>
                <w:b/>
                <w:bCs/>
                <w:sz w:val="18"/>
              </w:rPr>
            </w:pPr>
            <w:r w:rsidRPr="00321C51">
              <w:rPr>
                <w:b/>
                <w:bCs/>
                <w:sz w:val="18"/>
              </w:rPr>
              <w:t>Předpis/článek</w:t>
            </w:r>
          </w:p>
        </w:tc>
        <w:tc>
          <w:tcPr>
            <w:tcW w:w="1418" w:type="dxa"/>
            <w:shd w:val="clear" w:color="auto" w:fill="D9D9D9"/>
            <w:tcMar>
              <w:top w:w="0" w:type="dxa"/>
              <w:left w:w="108" w:type="dxa"/>
              <w:bottom w:w="0" w:type="dxa"/>
              <w:right w:w="108" w:type="dxa"/>
            </w:tcMar>
            <w:hideMark/>
          </w:tcPr>
          <w:p w14:paraId="09785090" w14:textId="77777777" w:rsidR="00220B38" w:rsidRPr="00321C51" w:rsidRDefault="00D77DFF" w:rsidP="00462410">
            <w:pPr>
              <w:jc w:val="both"/>
              <w:rPr>
                <w:b/>
                <w:bCs/>
                <w:sz w:val="18"/>
              </w:rPr>
            </w:pPr>
            <w:r w:rsidRPr="00321C51">
              <w:rPr>
                <w:b/>
                <w:bCs/>
                <w:sz w:val="18"/>
              </w:rPr>
              <w:t>Max VP v Praze</w:t>
            </w:r>
          </w:p>
        </w:tc>
        <w:tc>
          <w:tcPr>
            <w:tcW w:w="2835" w:type="dxa"/>
            <w:shd w:val="clear" w:color="auto" w:fill="D9D9D9"/>
            <w:tcMar>
              <w:top w:w="0" w:type="dxa"/>
              <w:left w:w="108" w:type="dxa"/>
              <w:bottom w:w="0" w:type="dxa"/>
              <w:right w:w="108" w:type="dxa"/>
            </w:tcMar>
            <w:hideMark/>
          </w:tcPr>
          <w:p w14:paraId="67B75D7B" w14:textId="77777777" w:rsidR="00220B38" w:rsidRPr="00321C51" w:rsidRDefault="00D77DFF" w:rsidP="00462410">
            <w:pPr>
              <w:jc w:val="both"/>
              <w:rPr>
                <w:b/>
                <w:bCs/>
                <w:sz w:val="18"/>
              </w:rPr>
            </w:pPr>
            <w:r w:rsidRPr="00321C51">
              <w:rPr>
                <w:b/>
                <w:bCs/>
                <w:sz w:val="18"/>
              </w:rPr>
              <w:t>Max VP pro regiony dle čl. 107 odst. 3 písm. a) Smlouvy o fungování EU</w:t>
            </w:r>
          </w:p>
        </w:tc>
        <w:tc>
          <w:tcPr>
            <w:tcW w:w="2835" w:type="dxa"/>
            <w:shd w:val="clear" w:color="auto" w:fill="D9D9D9"/>
            <w:tcMar>
              <w:top w:w="0" w:type="dxa"/>
              <w:left w:w="108" w:type="dxa"/>
              <w:bottom w:w="0" w:type="dxa"/>
              <w:right w:w="108" w:type="dxa"/>
            </w:tcMar>
            <w:hideMark/>
          </w:tcPr>
          <w:p w14:paraId="008A283B" w14:textId="77777777" w:rsidR="00220B38" w:rsidRPr="00321C51" w:rsidRDefault="00D77DFF" w:rsidP="00462410">
            <w:pPr>
              <w:jc w:val="both"/>
              <w:rPr>
                <w:bCs/>
                <w:sz w:val="18"/>
              </w:rPr>
            </w:pPr>
            <w:r w:rsidRPr="00321C51">
              <w:rPr>
                <w:b/>
                <w:bCs/>
                <w:sz w:val="18"/>
              </w:rPr>
              <w:t>Max VP pro regiony dle čl. 107 odst. 3 písm.  c) Smlouvy o fungování EU</w:t>
            </w:r>
            <w:r w:rsidRPr="00321C51">
              <w:rPr>
                <w:b/>
                <w:sz w:val="18"/>
              </w:rPr>
              <w:t xml:space="preserve"> </w:t>
            </w:r>
          </w:p>
        </w:tc>
      </w:tr>
      <w:tr w:rsidR="0046600D" w14:paraId="7054FC4D" w14:textId="77777777" w:rsidTr="00691932">
        <w:tc>
          <w:tcPr>
            <w:tcW w:w="1691" w:type="dxa"/>
            <w:tcMar>
              <w:top w:w="0" w:type="dxa"/>
              <w:left w:w="108" w:type="dxa"/>
              <w:bottom w:w="0" w:type="dxa"/>
              <w:right w:w="108" w:type="dxa"/>
            </w:tcMar>
            <w:hideMark/>
          </w:tcPr>
          <w:p w14:paraId="677D91F4" w14:textId="77777777" w:rsidR="00220B38" w:rsidRPr="00321C51" w:rsidRDefault="00D77DFF" w:rsidP="00462410">
            <w:pPr>
              <w:jc w:val="both"/>
              <w:rPr>
                <w:bCs/>
                <w:sz w:val="18"/>
              </w:rPr>
            </w:pPr>
            <w:r w:rsidRPr="00321C51">
              <w:rPr>
                <w:bCs/>
                <w:sz w:val="18"/>
              </w:rPr>
              <w:t>GBER 38 a) – proveden pouze jeden stavební prvek</w:t>
            </w:r>
          </w:p>
        </w:tc>
        <w:tc>
          <w:tcPr>
            <w:tcW w:w="1418" w:type="dxa"/>
            <w:tcMar>
              <w:top w:w="0" w:type="dxa"/>
              <w:left w:w="108" w:type="dxa"/>
              <w:bottom w:w="0" w:type="dxa"/>
              <w:right w:w="108" w:type="dxa"/>
            </w:tcMar>
            <w:hideMark/>
          </w:tcPr>
          <w:p w14:paraId="57553C1E" w14:textId="77777777" w:rsidR="00220B38" w:rsidRPr="00321C51" w:rsidRDefault="00D77DFF" w:rsidP="00462410">
            <w:pPr>
              <w:jc w:val="both"/>
              <w:rPr>
                <w:bCs/>
                <w:sz w:val="18"/>
              </w:rPr>
            </w:pPr>
            <w:r w:rsidRPr="00321C51">
              <w:rPr>
                <w:bCs/>
                <w:sz w:val="18"/>
              </w:rPr>
              <w:t>25 % (SP + 10 %, MP + 20 %)</w:t>
            </w:r>
          </w:p>
        </w:tc>
        <w:tc>
          <w:tcPr>
            <w:tcW w:w="2835" w:type="dxa"/>
            <w:tcMar>
              <w:top w:w="0" w:type="dxa"/>
              <w:left w:w="108" w:type="dxa"/>
              <w:bottom w:w="0" w:type="dxa"/>
              <w:right w:w="108" w:type="dxa"/>
            </w:tcMar>
            <w:hideMark/>
          </w:tcPr>
          <w:p w14:paraId="7BF03C1D" w14:textId="77777777" w:rsidR="00220B38" w:rsidRPr="00321C51" w:rsidRDefault="00D77DFF" w:rsidP="00462410">
            <w:pPr>
              <w:jc w:val="both"/>
              <w:rPr>
                <w:bCs/>
                <w:sz w:val="18"/>
              </w:rPr>
            </w:pPr>
            <w:r w:rsidRPr="00321C51">
              <w:rPr>
                <w:bCs/>
                <w:sz w:val="18"/>
              </w:rPr>
              <w:t>40 % (SP + 10 %, MP + 20 %)</w:t>
            </w:r>
          </w:p>
        </w:tc>
        <w:tc>
          <w:tcPr>
            <w:tcW w:w="2835" w:type="dxa"/>
            <w:tcMar>
              <w:top w:w="0" w:type="dxa"/>
              <w:left w:w="108" w:type="dxa"/>
              <w:bottom w:w="0" w:type="dxa"/>
              <w:right w:w="108" w:type="dxa"/>
            </w:tcMar>
            <w:hideMark/>
          </w:tcPr>
          <w:p w14:paraId="4A3F0FFB" w14:textId="77777777" w:rsidR="00220B38" w:rsidRPr="00321C51" w:rsidRDefault="00D77DFF" w:rsidP="00462410">
            <w:pPr>
              <w:jc w:val="both"/>
              <w:rPr>
                <w:bCs/>
                <w:sz w:val="18"/>
              </w:rPr>
            </w:pPr>
            <w:r w:rsidRPr="00321C51">
              <w:rPr>
                <w:bCs/>
                <w:sz w:val="18"/>
              </w:rPr>
              <w:t>30 % (SP + 10 %, MP + 20 %)</w:t>
            </w:r>
          </w:p>
        </w:tc>
      </w:tr>
      <w:tr w:rsidR="0046600D" w14:paraId="55F96A23" w14:textId="77777777" w:rsidTr="00691932">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7601A4D" w14:textId="77777777" w:rsidR="00220B38" w:rsidRPr="003272BA" w:rsidRDefault="00D77DFF" w:rsidP="00462410">
            <w:pPr>
              <w:jc w:val="both"/>
              <w:rPr>
                <w:b/>
                <w:bCs/>
                <w:sz w:val="18"/>
              </w:rPr>
            </w:pPr>
            <w:r w:rsidRPr="003272BA">
              <w:rPr>
                <w:b/>
                <w:bCs/>
                <w:sz w:val="18"/>
              </w:rPr>
              <w:lastRenderedPageBreak/>
              <w:t>Předpis/článek</w:t>
            </w:r>
          </w:p>
        </w:tc>
        <w:tc>
          <w:tcPr>
            <w:tcW w:w="141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CDDA70F" w14:textId="77777777" w:rsidR="00220B38" w:rsidRPr="003272BA" w:rsidRDefault="00D77DFF" w:rsidP="00462410">
            <w:pPr>
              <w:jc w:val="both"/>
              <w:rPr>
                <w:b/>
                <w:bCs/>
                <w:sz w:val="18"/>
              </w:rPr>
            </w:pPr>
            <w:r w:rsidRPr="003272BA">
              <w:rPr>
                <w:b/>
                <w:bCs/>
                <w:sz w:val="18"/>
              </w:rPr>
              <w:t>Max VP v Praze</w:t>
            </w:r>
          </w:p>
        </w:tc>
        <w:tc>
          <w:tcPr>
            <w:tcW w:w="283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E5EAEEF" w14:textId="77777777" w:rsidR="00220B38" w:rsidRPr="003272BA" w:rsidRDefault="00D77DFF" w:rsidP="00462410">
            <w:pPr>
              <w:jc w:val="both"/>
              <w:rPr>
                <w:b/>
                <w:bCs/>
                <w:sz w:val="18"/>
              </w:rPr>
            </w:pPr>
            <w:r w:rsidRPr="003272BA">
              <w:rPr>
                <w:b/>
                <w:bCs/>
                <w:sz w:val="18"/>
              </w:rPr>
              <w:t>Max VP pro regiony dle čl. 107 odst. 3 písm. a) Smlouvy o fungování EU</w:t>
            </w:r>
          </w:p>
        </w:tc>
        <w:tc>
          <w:tcPr>
            <w:tcW w:w="283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69E16B" w14:textId="77777777" w:rsidR="00220B38" w:rsidRPr="003272BA" w:rsidRDefault="00D77DFF" w:rsidP="00462410">
            <w:pPr>
              <w:jc w:val="both"/>
              <w:rPr>
                <w:b/>
                <w:bCs/>
                <w:sz w:val="18"/>
              </w:rPr>
            </w:pPr>
            <w:r w:rsidRPr="003272BA">
              <w:rPr>
                <w:b/>
                <w:bCs/>
                <w:sz w:val="18"/>
              </w:rPr>
              <w:t xml:space="preserve">Max VP pro regiony dle čl. 107 odst. 3 písm.  c) Smlouvy o fungování EU </w:t>
            </w:r>
          </w:p>
        </w:tc>
      </w:tr>
      <w:tr w:rsidR="0046600D" w14:paraId="4D71897D" w14:textId="77777777" w:rsidTr="00691932">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699742" w14:textId="77777777" w:rsidR="00220B38" w:rsidRPr="00321C51" w:rsidRDefault="00D77DFF" w:rsidP="00462410">
            <w:pPr>
              <w:jc w:val="both"/>
              <w:rPr>
                <w:bCs/>
                <w:sz w:val="18"/>
              </w:rPr>
            </w:pPr>
            <w:r w:rsidRPr="00321C51">
              <w:rPr>
                <w:bCs/>
                <w:sz w:val="18"/>
              </w:rPr>
              <w:t>GBER 38 a) – úspora energie min. 40 %</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DC9C69" w14:textId="77777777" w:rsidR="00220B38" w:rsidRPr="00321C51" w:rsidRDefault="00D77DFF" w:rsidP="00462410">
            <w:pPr>
              <w:jc w:val="both"/>
              <w:rPr>
                <w:bCs/>
                <w:sz w:val="18"/>
              </w:rPr>
            </w:pPr>
            <w:r w:rsidRPr="00321C51">
              <w:rPr>
                <w:bCs/>
                <w:sz w:val="18"/>
              </w:rPr>
              <w:t>45 % (SP + 10 %, MP + 20 %)</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695563" w14:textId="77777777" w:rsidR="00220B38" w:rsidRPr="00321C51" w:rsidRDefault="00D77DFF" w:rsidP="00462410">
            <w:pPr>
              <w:jc w:val="both"/>
              <w:rPr>
                <w:bCs/>
                <w:sz w:val="18"/>
              </w:rPr>
            </w:pPr>
            <w:r w:rsidRPr="00321C51">
              <w:rPr>
                <w:bCs/>
                <w:sz w:val="18"/>
              </w:rPr>
              <w:t>60 % (SP + 10 %, MP + 20 %)</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FDB0BA" w14:textId="77777777" w:rsidR="00220B38" w:rsidRPr="00321C51" w:rsidRDefault="00D77DFF" w:rsidP="00462410">
            <w:pPr>
              <w:jc w:val="both"/>
              <w:rPr>
                <w:bCs/>
                <w:sz w:val="18"/>
              </w:rPr>
            </w:pPr>
            <w:r w:rsidRPr="00321C51">
              <w:rPr>
                <w:bCs/>
                <w:sz w:val="18"/>
              </w:rPr>
              <w:t>50 % (SP + 10 %, MP + 20 %)</w:t>
            </w:r>
          </w:p>
        </w:tc>
      </w:tr>
    </w:tbl>
    <w:bookmarkEnd w:id="5"/>
    <w:p w14:paraId="17B469E9" w14:textId="77777777" w:rsidR="004918AB" w:rsidRPr="004918AB" w:rsidRDefault="00D77DFF" w:rsidP="00462410">
      <w:pPr>
        <w:pStyle w:val="OM-nadpis5"/>
      </w:pPr>
      <w:r w:rsidRPr="004918AB">
        <w:t xml:space="preserve">Investiční podpora na sanaci </w:t>
      </w:r>
      <w:r w:rsidRPr="004918AB">
        <w:rPr>
          <w:lang w:bidi="cs-CZ"/>
        </w:rPr>
        <w:t xml:space="preserve">škod na životním prostředí, rehabilitaci přírodních stanovišť a ekosystémů, ochranu nebo obnovu biologické rozmanitosti a zavádění řešení založených na přírodě pro přizpůsobení se změně klimatu a její zmírňování </w:t>
      </w:r>
      <w:r w:rsidRPr="004918AB">
        <w:t>(článek 45)</w:t>
      </w:r>
    </w:p>
    <w:p w14:paraId="7F4FDFE4" w14:textId="77777777" w:rsidR="004918AB" w:rsidRPr="004918AB" w:rsidRDefault="00D77DFF" w:rsidP="00462410">
      <w:pPr>
        <w:numPr>
          <w:ilvl w:val="0"/>
          <w:numId w:val="8"/>
        </w:numPr>
        <w:jc w:val="both"/>
      </w:pPr>
      <w:r w:rsidRPr="004918AB">
        <w:t>Sanace škod na životním prostředí, včetně poškození kvality půdy, povrchové a</w:t>
      </w:r>
      <w:r w:rsidR="00CE630D">
        <w:t> </w:t>
      </w:r>
      <w:r w:rsidRPr="004918AB">
        <w:t xml:space="preserve">podzemní vody </w:t>
      </w:r>
    </w:p>
    <w:p w14:paraId="364D1C46" w14:textId="77777777" w:rsidR="004918AB" w:rsidRPr="004918AB" w:rsidRDefault="00D77DFF" w:rsidP="00462410">
      <w:pPr>
        <w:numPr>
          <w:ilvl w:val="0"/>
          <w:numId w:val="8"/>
        </w:numPr>
        <w:jc w:val="both"/>
      </w:pPr>
      <w:r w:rsidRPr="004918AB">
        <w:t>Rehabilitace přírodních stanovišť a ekosystémů z degradovaného stavu</w:t>
      </w:r>
    </w:p>
    <w:p w14:paraId="47427961" w14:textId="77777777" w:rsidR="004918AB" w:rsidRPr="004918AB" w:rsidRDefault="00D77DFF" w:rsidP="00462410">
      <w:pPr>
        <w:numPr>
          <w:ilvl w:val="0"/>
          <w:numId w:val="8"/>
        </w:numPr>
        <w:jc w:val="both"/>
      </w:pPr>
      <w:r>
        <w:t>O</w:t>
      </w:r>
      <w:r w:rsidRPr="004918AB">
        <w:t>chrana nebo obnova biologické rozmanitosti nebo ekosystémů s cílem přispět k</w:t>
      </w:r>
      <w:r w:rsidR="007D3F19">
        <w:t> </w:t>
      </w:r>
      <w:r w:rsidRPr="004918AB">
        <w:t>dosažení dobrého stavu ekosystémů nebo chránit ekosystémy, které se již v</w:t>
      </w:r>
      <w:r w:rsidR="007D3F19">
        <w:t> </w:t>
      </w:r>
      <w:r w:rsidRPr="004918AB">
        <w:t>dobrém stavu nacházejí</w:t>
      </w:r>
    </w:p>
    <w:p w14:paraId="5C3750CF" w14:textId="77777777" w:rsidR="004918AB" w:rsidRPr="004918AB" w:rsidRDefault="00D77DFF" w:rsidP="00462410">
      <w:pPr>
        <w:numPr>
          <w:ilvl w:val="0"/>
          <w:numId w:val="8"/>
        </w:numPr>
        <w:jc w:val="both"/>
      </w:pPr>
      <w:r>
        <w:t>Z</w:t>
      </w:r>
      <w:r w:rsidRPr="004918AB">
        <w:t>avádění řešení založených na přírodě pro přizpůsobení se změně klimatu a její zmírňování</w:t>
      </w:r>
    </w:p>
    <w:p w14:paraId="5123F57B" w14:textId="77777777" w:rsidR="004918AB" w:rsidRPr="004918AB" w:rsidRDefault="00D77DFF" w:rsidP="00462410">
      <w:pPr>
        <w:jc w:val="both"/>
      </w:pPr>
      <w:r w:rsidRPr="004918AB">
        <w:t>Podpora může být poskytnuta pouze podnikům, které nejsou znečišťovateli nebo jejich právními nástupci. Zároveň musí být zajištěno, že znečišťovatel neexistuje nebo není znám, případně není možné po něm požadovat, aby opatření provedl (existuje v</w:t>
      </w:r>
      <w:r w:rsidR="00CE630D">
        <w:t> </w:t>
      </w:r>
      <w:r w:rsidRPr="004918AB">
        <w:t>neživotaschopné podobě).</w:t>
      </w:r>
    </w:p>
    <w:p w14:paraId="6B8D592E" w14:textId="77777777" w:rsidR="004918AB" w:rsidRPr="004918AB" w:rsidRDefault="00D77DFF" w:rsidP="00462410">
      <w:pPr>
        <w:jc w:val="both"/>
      </w:pPr>
      <w:r w:rsidRPr="004918AB">
        <w:rPr>
          <w:bCs/>
        </w:rPr>
        <w:t>Intenzita podpory</w:t>
      </w:r>
      <w:r w:rsidRPr="004918AB">
        <w:t xml:space="preserve"> (bude poskytována maximální intenzita podpory podle </w:t>
      </w:r>
      <w:r w:rsidRPr="002B0CAC">
        <w:t>pravidel NPŽP):</w:t>
      </w:r>
    </w:p>
    <w:p w14:paraId="28A33053" w14:textId="77777777" w:rsidR="004918AB" w:rsidRDefault="00D77DFF" w:rsidP="00462410">
      <w:pPr>
        <w:numPr>
          <w:ilvl w:val="0"/>
          <w:numId w:val="20"/>
        </w:numPr>
        <w:jc w:val="both"/>
      </w:pPr>
      <w:r w:rsidRPr="004918AB">
        <w:t>až 100 % pro opatření v bodě a) a b),</w:t>
      </w:r>
      <w:r>
        <w:t xml:space="preserve"> </w:t>
      </w:r>
      <w:r w:rsidRPr="004918AB">
        <w:t xml:space="preserve">70 % pro opatření v bodě c) a d) </w:t>
      </w:r>
    </w:p>
    <w:p w14:paraId="1781A850" w14:textId="77777777" w:rsidR="004918AB" w:rsidRDefault="00D77DFF" w:rsidP="00462410">
      <w:pPr>
        <w:numPr>
          <w:ilvl w:val="0"/>
          <w:numId w:val="20"/>
        </w:numPr>
        <w:jc w:val="both"/>
      </w:pPr>
      <w:r w:rsidRPr="004918AB">
        <w:t>lze navýšit o bonusy SP 10 % a MP 20 %</w:t>
      </w:r>
    </w:p>
    <w:p w14:paraId="6422B577" w14:textId="77777777" w:rsidR="004918AB" w:rsidRPr="004918AB" w:rsidRDefault="00D77DFF" w:rsidP="00462410">
      <w:pPr>
        <w:jc w:val="both"/>
      </w:pPr>
      <w:r w:rsidRPr="004918AB">
        <w:rPr>
          <w:bCs/>
        </w:rPr>
        <w:t>Způsobilé výdaje: pro opatření a) a b),</w:t>
      </w:r>
      <w:r w:rsidRPr="004918AB">
        <w:t xml:space="preserve"> se od nákladů na realizaci odečte navýšení hodnoty pozemku vlivem projektu. Zhodnocení posoudí nezávislý odborník.</w:t>
      </w:r>
    </w:p>
    <w:p w14:paraId="22987D1C" w14:textId="77777777" w:rsidR="004918AB" w:rsidRPr="004918AB" w:rsidRDefault="00D77DFF" w:rsidP="00462410">
      <w:pPr>
        <w:jc w:val="both"/>
      </w:pPr>
      <w:r w:rsidRPr="004918AB">
        <w:rPr>
          <w:lang w:bidi="cs-CZ"/>
        </w:rPr>
        <w:t>Nad rámec standardních příloh musí být doloženo čestné prohlášení k inkasnímu příkazu.</w:t>
      </w:r>
    </w:p>
    <w:p w14:paraId="4F045DB5" w14:textId="77777777" w:rsidR="004918AB" w:rsidRPr="004918AB" w:rsidRDefault="00D77DFF" w:rsidP="00462410">
      <w:pPr>
        <w:jc w:val="both"/>
      </w:pPr>
      <w:r>
        <w:t>Individuální n</w:t>
      </w:r>
      <w:r w:rsidRPr="004918AB">
        <w:t>otifikační práh</w:t>
      </w:r>
      <w:r>
        <w:t xml:space="preserve"> je </w:t>
      </w:r>
      <w:r w:rsidRPr="004918AB">
        <w:t>30 mil EUR.</w:t>
      </w:r>
    </w:p>
    <w:p w14:paraId="758BCDFB" w14:textId="77777777" w:rsidR="00AF2F41" w:rsidRPr="00AF2F41" w:rsidRDefault="00D77DFF" w:rsidP="00462410">
      <w:pPr>
        <w:pStyle w:val="OM-nadpis5"/>
      </w:pPr>
      <w:r w:rsidRPr="00AF2F41">
        <w:t xml:space="preserve">Investiční podpora na </w:t>
      </w:r>
      <w:r w:rsidRPr="00AF2F41">
        <w:rPr>
          <w:lang w:bidi="cs-CZ"/>
        </w:rPr>
        <w:t>účinné využívání zdrojů a na podporu přechodu na oběhové hospodářství</w:t>
      </w:r>
      <w:r w:rsidRPr="00AF2F41">
        <w:t xml:space="preserve"> (článek 47)</w:t>
      </w:r>
    </w:p>
    <w:p w14:paraId="0F69FF3D" w14:textId="77777777" w:rsidR="00EF4A81" w:rsidRDefault="00D77DFF" w:rsidP="00462410">
      <w:pPr>
        <w:jc w:val="both"/>
      </w:pPr>
      <w:r w:rsidRPr="00AF2F41">
        <w:t>Vhodná pouze pro projekty využívající výrazně inovativní technologie.</w:t>
      </w:r>
    </w:p>
    <w:p w14:paraId="70716DBF" w14:textId="77777777" w:rsidR="00AF2F41" w:rsidRPr="00AF2F41" w:rsidRDefault="00D77DFF" w:rsidP="00462410">
      <w:pPr>
        <w:jc w:val="both"/>
      </w:pPr>
      <w:r w:rsidRPr="00AF2F41">
        <w:t>Žadatel předloží nad rámec standardních příloh prohlášení k inkasnímu příkazu.</w:t>
      </w:r>
    </w:p>
    <w:p w14:paraId="4A8C2721" w14:textId="77777777" w:rsidR="00AF2F41" w:rsidRPr="00AF2F41" w:rsidRDefault="00D77DFF" w:rsidP="00462410">
      <w:pPr>
        <w:jc w:val="both"/>
      </w:pPr>
      <w:r w:rsidRPr="00AF2F41">
        <w:t>Způsobilé výdaje je ve většině případů nezbytné stanovit porovnáním s alternativní investicí – scénářem bez podpory.</w:t>
      </w:r>
    </w:p>
    <w:p w14:paraId="7DC608CF" w14:textId="77777777" w:rsidR="00AF2F41" w:rsidRPr="00AF2F41" w:rsidRDefault="00D77DFF" w:rsidP="00462410">
      <w:pPr>
        <w:jc w:val="both"/>
      </w:pPr>
      <w:r w:rsidRPr="00AF2F41">
        <w:t>Nezbytná konzultace projektu před jeho podáním z důvodu komplikovaných podmínek slučitelnosti.</w:t>
      </w:r>
    </w:p>
    <w:p w14:paraId="314CD5A7" w14:textId="77777777" w:rsidR="00220B38" w:rsidRDefault="00D77DFF" w:rsidP="00462410">
      <w:pPr>
        <w:jc w:val="both"/>
      </w:pPr>
      <w:r>
        <w:t>Individuální n</w:t>
      </w:r>
      <w:r w:rsidR="00597B91" w:rsidRPr="00597B91">
        <w:t>otifikační práh</w:t>
      </w:r>
      <w:r w:rsidR="00597B91">
        <w:t xml:space="preserve"> je</w:t>
      </w:r>
      <w:r w:rsidR="00597B91" w:rsidRPr="00597B91">
        <w:t xml:space="preserve"> 30 mil EUR.</w:t>
      </w:r>
    </w:p>
    <w:p w14:paraId="6BAD233C" w14:textId="77777777" w:rsidR="00597B91" w:rsidRPr="00597B91" w:rsidRDefault="00D77DFF" w:rsidP="00462410">
      <w:pPr>
        <w:jc w:val="both"/>
      </w:pPr>
      <w:bookmarkStart w:id="6" w:name="_Hlk155359511"/>
      <w:r w:rsidRPr="00597B91">
        <w:t>Intenzita podpory</w:t>
      </w:r>
      <w:r>
        <w:t xml:space="preserve"> je znázorněna v tabulce níže:</w:t>
      </w:r>
    </w:p>
    <w:tbl>
      <w:tblPr>
        <w:tblW w:w="0" w:type="auto"/>
        <w:tblCellMar>
          <w:left w:w="0" w:type="dxa"/>
          <w:right w:w="0" w:type="dxa"/>
        </w:tblCellMar>
        <w:tblLook w:val="04A0" w:firstRow="1" w:lastRow="0" w:firstColumn="1" w:lastColumn="0" w:noHBand="0" w:noVBand="1"/>
      </w:tblPr>
      <w:tblGrid>
        <w:gridCol w:w="2169"/>
        <w:gridCol w:w="1791"/>
        <w:gridCol w:w="2267"/>
        <w:gridCol w:w="2410"/>
      </w:tblGrid>
      <w:tr w:rsidR="0046600D" w14:paraId="04B68674" w14:textId="77777777" w:rsidTr="00691932">
        <w:tc>
          <w:tcPr>
            <w:tcW w:w="21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bookmarkEnd w:id="6"/>
          <w:p w14:paraId="6C2D9E25" w14:textId="77777777" w:rsidR="00597B91" w:rsidRPr="003272BA" w:rsidRDefault="00D77DFF" w:rsidP="00462410">
            <w:pPr>
              <w:jc w:val="both"/>
              <w:rPr>
                <w:b/>
                <w:bCs/>
                <w:sz w:val="18"/>
              </w:rPr>
            </w:pPr>
            <w:r w:rsidRPr="003272BA">
              <w:rPr>
                <w:b/>
                <w:bCs/>
                <w:sz w:val="18"/>
              </w:rPr>
              <w:lastRenderedPageBreak/>
              <w:t>Předpis/článek</w:t>
            </w:r>
          </w:p>
        </w:tc>
        <w:tc>
          <w:tcPr>
            <w:tcW w:w="179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D18DA44" w14:textId="77777777" w:rsidR="00597B91" w:rsidRPr="003272BA" w:rsidRDefault="00D77DFF" w:rsidP="00462410">
            <w:pPr>
              <w:jc w:val="both"/>
              <w:rPr>
                <w:b/>
                <w:bCs/>
                <w:sz w:val="18"/>
              </w:rPr>
            </w:pPr>
            <w:r w:rsidRPr="003272BA">
              <w:rPr>
                <w:b/>
                <w:bCs/>
                <w:sz w:val="18"/>
              </w:rPr>
              <w:t>Max VP v Praze</w:t>
            </w:r>
          </w:p>
        </w:tc>
        <w:tc>
          <w:tcPr>
            <w:tcW w:w="226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D7A410A" w14:textId="77777777" w:rsidR="00597B91" w:rsidRPr="003272BA" w:rsidRDefault="00D77DFF" w:rsidP="00462410">
            <w:pPr>
              <w:jc w:val="both"/>
              <w:rPr>
                <w:b/>
                <w:bCs/>
                <w:sz w:val="18"/>
              </w:rPr>
            </w:pPr>
            <w:r w:rsidRPr="003272BA">
              <w:rPr>
                <w:b/>
                <w:bCs/>
                <w:sz w:val="18"/>
              </w:rPr>
              <w:t>Max VP pro regiony dle čl. 107 odst. 3 písm. a) Smlouvy o fungování EU</w:t>
            </w:r>
          </w:p>
        </w:tc>
        <w:tc>
          <w:tcPr>
            <w:tcW w:w="24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61DEA69" w14:textId="77777777" w:rsidR="00597B91" w:rsidRPr="003272BA" w:rsidRDefault="00D77DFF" w:rsidP="00462410">
            <w:pPr>
              <w:jc w:val="both"/>
              <w:rPr>
                <w:b/>
                <w:bCs/>
                <w:sz w:val="18"/>
              </w:rPr>
            </w:pPr>
            <w:r w:rsidRPr="003272BA">
              <w:rPr>
                <w:b/>
                <w:bCs/>
                <w:sz w:val="18"/>
              </w:rPr>
              <w:t>Max VP pro regiony dle čl. 107 odst. 3 písm.  c) Smlouvy o fungování EU</w:t>
            </w:r>
            <w:r w:rsidRPr="003272BA">
              <w:rPr>
                <w:b/>
                <w:bCs/>
                <w:sz w:val="18"/>
                <w:vertAlign w:val="superscript"/>
              </w:rPr>
              <w:t xml:space="preserve"> </w:t>
            </w:r>
          </w:p>
        </w:tc>
      </w:tr>
      <w:tr w:rsidR="0046600D" w14:paraId="6DD29131" w14:textId="77777777" w:rsidTr="00691932">
        <w:tc>
          <w:tcPr>
            <w:tcW w:w="2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0CE7B" w14:textId="77777777" w:rsidR="00597B91" w:rsidRPr="00321C51" w:rsidRDefault="00D77DFF" w:rsidP="00462410">
            <w:pPr>
              <w:jc w:val="both"/>
              <w:rPr>
                <w:bCs/>
                <w:sz w:val="18"/>
              </w:rPr>
            </w:pPr>
            <w:r w:rsidRPr="00321C51">
              <w:rPr>
                <w:bCs/>
                <w:sz w:val="18"/>
              </w:rPr>
              <w:t>GBER 47</w:t>
            </w:r>
          </w:p>
        </w:tc>
        <w:tc>
          <w:tcPr>
            <w:tcW w:w="1791" w:type="dxa"/>
            <w:tcBorders>
              <w:top w:val="nil"/>
              <w:left w:val="nil"/>
              <w:bottom w:val="single" w:sz="8" w:space="0" w:color="auto"/>
              <w:right w:val="single" w:sz="8" w:space="0" w:color="auto"/>
            </w:tcBorders>
            <w:tcMar>
              <w:top w:w="0" w:type="dxa"/>
              <w:left w:w="108" w:type="dxa"/>
              <w:bottom w:w="0" w:type="dxa"/>
              <w:right w:w="108" w:type="dxa"/>
            </w:tcMar>
            <w:hideMark/>
          </w:tcPr>
          <w:p w14:paraId="5C0E2351" w14:textId="77777777" w:rsidR="00597B91" w:rsidRPr="00321C51" w:rsidRDefault="00D77DFF" w:rsidP="00462410">
            <w:pPr>
              <w:jc w:val="both"/>
              <w:rPr>
                <w:bCs/>
                <w:sz w:val="18"/>
              </w:rPr>
            </w:pPr>
            <w:r w:rsidRPr="00321C51">
              <w:rPr>
                <w:bCs/>
                <w:sz w:val="18"/>
              </w:rPr>
              <w:t>40 % (SP + 10 %, MP + 20 %)</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14:paraId="256DC414" w14:textId="77777777" w:rsidR="00597B91" w:rsidRPr="00321C51" w:rsidRDefault="00D77DFF" w:rsidP="00462410">
            <w:pPr>
              <w:jc w:val="both"/>
              <w:rPr>
                <w:bCs/>
                <w:sz w:val="18"/>
              </w:rPr>
            </w:pPr>
            <w:r w:rsidRPr="00321C51">
              <w:rPr>
                <w:bCs/>
                <w:sz w:val="18"/>
              </w:rPr>
              <w:t>55 % (SP + 10 %, MP + 20 %)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F07EB15" w14:textId="77777777" w:rsidR="00597B91" w:rsidRPr="00321C51" w:rsidRDefault="00D77DFF" w:rsidP="00462410">
            <w:pPr>
              <w:jc w:val="both"/>
              <w:rPr>
                <w:bCs/>
                <w:sz w:val="18"/>
              </w:rPr>
            </w:pPr>
            <w:r w:rsidRPr="00321C51">
              <w:rPr>
                <w:bCs/>
                <w:sz w:val="18"/>
              </w:rPr>
              <w:t>45 % (SP + 10 %, MP + 20 %)</w:t>
            </w:r>
          </w:p>
        </w:tc>
      </w:tr>
    </w:tbl>
    <w:p w14:paraId="4218FBB6" w14:textId="77777777" w:rsidR="00222D8C" w:rsidRPr="00222D8C" w:rsidRDefault="00D77DFF" w:rsidP="00462410">
      <w:pPr>
        <w:pStyle w:val="OM-nadpis5"/>
      </w:pPr>
      <w:r w:rsidRPr="00222D8C">
        <w:t>Podpora na studie</w:t>
      </w:r>
      <w:r w:rsidRPr="00222D8C">
        <w:rPr>
          <w:lang w:bidi="cs-CZ"/>
        </w:rPr>
        <w:t xml:space="preserve"> a poradenské služby v oblasti ochrany životního prostředí a energetiky</w:t>
      </w:r>
      <w:r w:rsidRPr="00222D8C">
        <w:t xml:space="preserve"> (článek 49)</w:t>
      </w:r>
    </w:p>
    <w:p w14:paraId="537D5925" w14:textId="77777777" w:rsidR="00222D8C" w:rsidRDefault="00D77DFF" w:rsidP="00462410">
      <w:pPr>
        <w:jc w:val="both"/>
      </w:pPr>
      <w:r w:rsidRPr="00222D8C">
        <w:t>Podpora může být poskytnuta na studii související s ochranou životního prostředí – například na analýzy rizik potenciálně kontaminovaných lokalit. Nelze poskytnout velkým podnikům na energetické audity prováděné podle článku 8, odst. 4, Směrnice č.</w:t>
      </w:r>
      <w:r w:rsidR="00CE630D">
        <w:t> </w:t>
      </w:r>
      <w:r w:rsidRPr="00222D8C">
        <w:t>2012/27/EU.</w:t>
      </w:r>
    </w:p>
    <w:p w14:paraId="0AD1CD17" w14:textId="77777777" w:rsidR="00086361" w:rsidRDefault="00D77DFF" w:rsidP="00462410">
      <w:pPr>
        <w:jc w:val="both"/>
      </w:pPr>
      <w:r>
        <w:t>Způsobilý výdaj jsou náklady na studii.</w:t>
      </w:r>
    </w:p>
    <w:p w14:paraId="2DB5AD5E" w14:textId="77777777" w:rsidR="00086361" w:rsidRPr="00222D8C" w:rsidRDefault="00D77DFF" w:rsidP="00462410">
      <w:pPr>
        <w:jc w:val="both"/>
      </w:pPr>
      <w:r>
        <w:t xml:space="preserve">Intenzita podpory </w:t>
      </w:r>
      <w:r w:rsidR="003E625D">
        <w:t>pro</w:t>
      </w:r>
      <w:r>
        <w:t xml:space="preserve"> velk</w:t>
      </w:r>
      <w:r w:rsidR="003E625D">
        <w:t xml:space="preserve">ý </w:t>
      </w:r>
      <w:r>
        <w:t xml:space="preserve">podnik </w:t>
      </w:r>
      <w:r w:rsidR="003E625D">
        <w:t xml:space="preserve">je </w:t>
      </w:r>
      <w:r>
        <w:t xml:space="preserve">60 </w:t>
      </w:r>
      <w:r w:rsidR="005F047D">
        <w:t xml:space="preserve">%, </w:t>
      </w:r>
      <w:r w:rsidR="003E625D">
        <w:t>u</w:t>
      </w:r>
      <w:r w:rsidR="005F047D">
        <w:t xml:space="preserve"> střední</w:t>
      </w:r>
      <w:r w:rsidR="003E625D">
        <w:t>ch</w:t>
      </w:r>
      <w:r w:rsidR="005F047D">
        <w:t xml:space="preserve"> podnik</w:t>
      </w:r>
      <w:r w:rsidR="003E625D">
        <w:t>ů</w:t>
      </w:r>
      <w:r w:rsidR="005F047D">
        <w:t xml:space="preserve"> je navýšena o 10 % a</w:t>
      </w:r>
      <w:r w:rsidR="00CE630D">
        <w:t> </w:t>
      </w:r>
      <w:r w:rsidR="003E625D">
        <w:t>v</w:t>
      </w:r>
      <w:r w:rsidR="00CE630D">
        <w:t> </w:t>
      </w:r>
      <w:r w:rsidR="003E625D">
        <w:t>případě</w:t>
      </w:r>
      <w:r w:rsidR="005F047D">
        <w:t xml:space="preserve"> mal</w:t>
      </w:r>
      <w:r w:rsidR="003E625D">
        <w:t>ých</w:t>
      </w:r>
      <w:r w:rsidR="005F047D">
        <w:t xml:space="preserve"> podnik</w:t>
      </w:r>
      <w:r w:rsidR="003E625D">
        <w:t>ů</w:t>
      </w:r>
      <w:r w:rsidR="005F047D">
        <w:t xml:space="preserve"> je navýšení intenzity podpory 20 %.</w:t>
      </w:r>
    </w:p>
    <w:p w14:paraId="2DC8C9F7" w14:textId="77777777" w:rsidR="006465D5" w:rsidRPr="006465D5" w:rsidRDefault="00D77DFF" w:rsidP="00462410">
      <w:pPr>
        <w:pStyle w:val="OM-nadpis5"/>
      </w:pPr>
      <w:r>
        <w:t>P</w:t>
      </w:r>
      <w:r w:rsidRPr="006465D5">
        <w:t xml:space="preserve">odpora infrastrukturních projektů </w:t>
      </w:r>
      <w:r w:rsidR="003E625D">
        <w:t>(</w:t>
      </w:r>
      <w:r w:rsidRPr="006465D5">
        <w:t>článk</w:t>
      </w:r>
      <w:r w:rsidR="005F49A6">
        <w:t>y</w:t>
      </w:r>
      <w:r w:rsidRPr="006465D5">
        <w:t xml:space="preserve"> 53, 55 a 56</w:t>
      </w:r>
      <w:r w:rsidR="003E625D">
        <w:t>)</w:t>
      </w:r>
    </w:p>
    <w:p w14:paraId="0AF8C1E8" w14:textId="77777777" w:rsidR="00B9404C" w:rsidRDefault="00D77DFF" w:rsidP="00462410">
      <w:pPr>
        <w:jc w:val="both"/>
      </w:pPr>
      <w:r>
        <w:t>Podpora je v</w:t>
      </w:r>
      <w:r w:rsidRPr="006465D5">
        <w:t>hodná pro projekty kulturních a sportovních infrastruktur, případně pro</w:t>
      </w:r>
      <w:r w:rsidR="007D3F19">
        <w:t> </w:t>
      </w:r>
      <w:r w:rsidRPr="006465D5">
        <w:t xml:space="preserve">multifunkční budovy. </w:t>
      </w:r>
      <w:r w:rsidR="001C653B">
        <w:t>Způsobilost výdajů bude vždy uvedena ve výzvě, v závislosti na</w:t>
      </w:r>
      <w:r w:rsidR="00514CBB">
        <w:t> </w:t>
      </w:r>
      <w:r w:rsidR="001C653B">
        <w:t>typu opatření.</w:t>
      </w:r>
    </w:p>
    <w:p w14:paraId="0433851A" w14:textId="77777777" w:rsidR="00B9404C" w:rsidRPr="006465D5" w:rsidRDefault="00D77DFF" w:rsidP="00462410">
      <w:pPr>
        <w:jc w:val="both"/>
      </w:pPr>
      <w:r w:rsidRPr="006465D5">
        <w:t xml:space="preserve">Nad rámec standardních příloh musí být doloženo </w:t>
      </w:r>
      <w:r w:rsidR="00EA389E" w:rsidRPr="00816A3D">
        <w:t>čestné prohlášení k inkasnímu příkazu</w:t>
      </w:r>
      <w:r w:rsidRPr="006465D5">
        <w:t>.</w:t>
      </w:r>
    </w:p>
    <w:p w14:paraId="4785E32D" w14:textId="77777777" w:rsidR="0062282B" w:rsidRPr="00D16D5E" w:rsidRDefault="00D77DFF" w:rsidP="00462410">
      <w:pPr>
        <w:pStyle w:val="Odstavecseseznamem"/>
        <w:numPr>
          <w:ilvl w:val="0"/>
          <w:numId w:val="18"/>
        </w:numPr>
        <w:jc w:val="both"/>
        <w:rPr>
          <w:b/>
        </w:rPr>
      </w:pPr>
      <w:r w:rsidRPr="00D16D5E">
        <w:rPr>
          <w:b/>
        </w:rPr>
        <w:t>Podpora na kulturu a zachování kulturního dědictví (článek 53)</w:t>
      </w:r>
    </w:p>
    <w:p w14:paraId="7669200B" w14:textId="77777777" w:rsidR="006465D5" w:rsidRPr="006465D5" w:rsidRDefault="00D77DFF" w:rsidP="00462410">
      <w:pPr>
        <w:jc w:val="both"/>
      </w:pPr>
      <w:r w:rsidRPr="006465D5">
        <w:t xml:space="preserve">Individuální notifikační práh </w:t>
      </w:r>
      <w:r w:rsidR="005F49A6">
        <w:t xml:space="preserve">pro </w:t>
      </w:r>
      <w:r w:rsidR="00351E45">
        <w:t xml:space="preserve">investiční podporu podle </w:t>
      </w:r>
      <w:r w:rsidRPr="006465D5">
        <w:t>článk</w:t>
      </w:r>
      <w:r w:rsidR="00351E45">
        <w:t>u</w:t>
      </w:r>
      <w:r w:rsidRPr="006465D5">
        <w:t xml:space="preserve"> 53 GBER </w:t>
      </w:r>
      <w:r w:rsidR="005F49A6">
        <w:t>je</w:t>
      </w:r>
      <w:r w:rsidRPr="006465D5">
        <w:t xml:space="preserve"> 165 mil</w:t>
      </w:r>
      <w:r w:rsidR="005F49A6">
        <w:t>.</w:t>
      </w:r>
      <w:r w:rsidRPr="006465D5">
        <w:t xml:space="preserve"> </w:t>
      </w:r>
      <w:r w:rsidR="005F49A6">
        <w:t>EUR</w:t>
      </w:r>
      <w:r w:rsidRPr="006465D5">
        <w:t xml:space="preserve"> na projekt</w:t>
      </w:r>
      <w:r w:rsidR="005F49A6">
        <w:t>.</w:t>
      </w:r>
    </w:p>
    <w:p w14:paraId="39FF3903" w14:textId="77777777" w:rsidR="0062282B" w:rsidRPr="005F49A6" w:rsidRDefault="00D77DFF" w:rsidP="00462410">
      <w:pPr>
        <w:pStyle w:val="Odstavecseseznamem"/>
        <w:numPr>
          <w:ilvl w:val="0"/>
          <w:numId w:val="18"/>
        </w:numPr>
        <w:jc w:val="both"/>
        <w:rPr>
          <w:b/>
        </w:rPr>
      </w:pPr>
      <w:r w:rsidRPr="005F49A6">
        <w:rPr>
          <w:b/>
        </w:rPr>
        <w:t>Podpora na sportovní a multifunkční rekreační infrastrukturu (článek 55)</w:t>
      </w:r>
    </w:p>
    <w:p w14:paraId="0F3AFB0A" w14:textId="77777777" w:rsidR="006465D5" w:rsidRDefault="00D77DFF" w:rsidP="00462410">
      <w:pPr>
        <w:jc w:val="both"/>
      </w:pPr>
      <w:r w:rsidRPr="006465D5">
        <w:t xml:space="preserve">Individuální notifikační práh </w:t>
      </w:r>
      <w:r w:rsidR="005F49A6">
        <w:t xml:space="preserve">pro </w:t>
      </w:r>
      <w:r w:rsidR="00B31D6A">
        <w:t xml:space="preserve">investiční podporu na sportovní a multifunkční infrastrukturu podle </w:t>
      </w:r>
      <w:r w:rsidRPr="006465D5">
        <w:t>člán</w:t>
      </w:r>
      <w:r w:rsidR="00B31D6A">
        <w:t xml:space="preserve">ku </w:t>
      </w:r>
      <w:r w:rsidRPr="006465D5">
        <w:t xml:space="preserve">55 GBER </w:t>
      </w:r>
      <w:r w:rsidR="005F49A6">
        <w:t xml:space="preserve">je </w:t>
      </w:r>
      <w:r w:rsidRPr="006465D5">
        <w:t>33 mil</w:t>
      </w:r>
      <w:r w:rsidR="005F49A6">
        <w:t>.</w:t>
      </w:r>
      <w:r w:rsidRPr="006465D5">
        <w:t xml:space="preserve"> </w:t>
      </w:r>
      <w:r w:rsidR="005F49A6">
        <w:t>EUR</w:t>
      </w:r>
      <w:r w:rsidRPr="006465D5">
        <w:t xml:space="preserve"> nebo celkové náklady přesahující 110</w:t>
      </w:r>
      <w:r w:rsidR="007D3F19">
        <w:t> </w:t>
      </w:r>
      <w:r w:rsidRPr="006465D5">
        <w:t>mil</w:t>
      </w:r>
      <w:r w:rsidR="005F49A6">
        <w:t>.</w:t>
      </w:r>
      <w:r w:rsidRPr="006465D5">
        <w:t xml:space="preserve"> </w:t>
      </w:r>
      <w:r w:rsidR="005F49A6">
        <w:t>EUR</w:t>
      </w:r>
      <w:r w:rsidRPr="006465D5">
        <w:t xml:space="preserve"> na projekt</w:t>
      </w:r>
      <w:r w:rsidR="005F49A6">
        <w:t>.</w:t>
      </w:r>
    </w:p>
    <w:p w14:paraId="64BD6507" w14:textId="77777777" w:rsidR="001B70C4" w:rsidRDefault="00D77DFF" w:rsidP="00462410">
      <w:pPr>
        <w:jc w:val="both"/>
      </w:pPr>
      <w:r w:rsidRPr="00B31D6A">
        <w:t xml:space="preserve">U podpory podle čl. 53 </w:t>
      </w:r>
      <w:r>
        <w:t xml:space="preserve">a 55 </w:t>
      </w:r>
      <w:r w:rsidRPr="00B31D6A">
        <w:t>může být v závislosti na její výši zvolen jeden z následujících postupů:</w:t>
      </w:r>
    </w:p>
    <w:p w14:paraId="50D9B8CD" w14:textId="77777777" w:rsidR="00B9404C" w:rsidRPr="006465D5" w:rsidRDefault="00D77DFF" w:rsidP="00462410">
      <w:pPr>
        <w:jc w:val="both"/>
      </w:pPr>
      <w:r w:rsidRPr="006465D5">
        <w:t xml:space="preserve">Projekty s výslednou podporou nižší než 2,2 mil euro a než 80 % z celkových </w:t>
      </w:r>
      <w:r w:rsidR="00A92F12">
        <w:t xml:space="preserve">způsobilých </w:t>
      </w:r>
      <w:r w:rsidRPr="006465D5">
        <w:t xml:space="preserve">výdajů se řídí pouze podmínkami podpory programu, bez dalšího omezení. </w:t>
      </w:r>
    </w:p>
    <w:p w14:paraId="4B936298" w14:textId="77777777" w:rsidR="00B9404C" w:rsidRDefault="00D77DFF" w:rsidP="00462410">
      <w:pPr>
        <w:jc w:val="both"/>
      </w:pPr>
      <w:r w:rsidRPr="006465D5">
        <w:t xml:space="preserve">Projekty s podporou vyšší než 2,2 mil euro nebo 80 % mohou obdržet až 100 % podporu nákladové mezery – nutno zpracovat CBA pro veřejnou podporu a podložit relevantními podklady. </w:t>
      </w:r>
    </w:p>
    <w:p w14:paraId="703A3E0D" w14:textId="77777777" w:rsidR="00B9404C" w:rsidRPr="006465D5" w:rsidRDefault="00D77DFF" w:rsidP="00462410">
      <w:pPr>
        <w:jc w:val="both"/>
      </w:pPr>
      <w:r w:rsidRPr="006465D5">
        <w:t>Skutečné maximum podpory se řídí podmínkami programu.</w:t>
      </w:r>
    </w:p>
    <w:p w14:paraId="056B7AF4" w14:textId="77777777" w:rsidR="0062282B" w:rsidRPr="005F49A6" w:rsidRDefault="00D77DFF" w:rsidP="00462410">
      <w:pPr>
        <w:pStyle w:val="Odstavecseseznamem"/>
        <w:numPr>
          <w:ilvl w:val="0"/>
          <w:numId w:val="18"/>
        </w:numPr>
        <w:jc w:val="both"/>
        <w:rPr>
          <w:b/>
        </w:rPr>
      </w:pPr>
      <w:r w:rsidRPr="005F49A6">
        <w:rPr>
          <w:b/>
        </w:rPr>
        <w:t>Investiční podpora na místní infrastrukturu (článek 56)</w:t>
      </w:r>
    </w:p>
    <w:p w14:paraId="07588A6E" w14:textId="77777777" w:rsidR="006465D5" w:rsidRDefault="00D77DFF" w:rsidP="00462410">
      <w:pPr>
        <w:jc w:val="both"/>
      </w:pPr>
      <w:r w:rsidRPr="006465D5">
        <w:t xml:space="preserve">Individuální notifikační práh </w:t>
      </w:r>
      <w:r w:rsidR="002B0CAC">
        <w:t>u</w:t>
      </w:r>
      <w:r w:rsidR="005F49A6">
        <w:t xml:space="preserve"> </w:t>
      </w:r>
      <w:r w:rsidRPr="006465D5">
        <w:t>člán</w:t>
      </w:r>
      <w:r w:rsidR="002B0CAC">
        <w:t>ku</w:t>
      </w:r>
      <w:r w:rsidRPr="006465D5">
        <w:t xml:space="preserve"> 56 GBER</w:t>
      </w:r>
      <w:r w:rsidR="005F49A6">
        <w:t xml:space="preserve"> je</w:t>
      </w:r>
      <w:r w:rsidRPr="006465D5">
        <w:t xml:space="preserve"> 11 mil</w:t>
      </w:r>
      <w:r w:rsidR="005F49A6">
        <w:t>.</w:t>
      </w:r>
      <w:r w:rsidRPr="006465D5">
        <w:t xml:space="preserve"> </w:t>
      </w:r>
      <w:r w:rsidR="005F49A6">
        <w:t>EUR</w:t>
      </w:r>
      <w:r w:rsidRPr="006465D5">
        <w:t xml:space="preserve"> nebo celkov</w:t>
      </w:r>
      <w:r w:rsidR="000F0A8A">
        <w:t>é</w:t>
      </w:r>
      <w:r w:rsidRPr="006465D5">
        <w:t xml:space="preserve"> náklad</w:t>
      </w:r>
      <w:r w:rsidR="000F0A8A">
        <w:t>y</w:t>
      </w:r>
      <w:r w:rsidRPr="006465D5">
        <w:t xml:space="preserve"> přesahující 22 mil</w:t>
      </w:r>
      <w:r w:rsidR="005F49A6">
        <w:t>.</w:t>
      </w:r>
      <w:r w:rsidRPr="006465D5">
        <w:t xml:space="preserve"> </w:t>
      </w:r>
      <w:r w:rsidR="005F49A6">
        <w:t>EUR</w:t>
      </w:r>
      <w:r w:rsidRPr="006465D5">
        <w:t xml:space="preserve"> na tutéž infrastrukturu</w:t>
      </w:r>
      <w:r w:rsidR="005F49A6">
        <w:t>.</w:t>
      </w:r>
    </w:p>
    <w:p w14:paraId="6AC362BE" w14:textId="77777777" w:rsidR="005F5534" w:rsidRDefault="00D77DFF" w:rsidP="00462410">
      <w:pPr>
        <w:jc w:val="both"/>
      </w:pPr>
      <w:r>
        <w:t>Infrastruktura musí být přístupná za transparentních podmínek a musí být účtovány tržní ceny za její využití.</w:t>
      </w:r>
    </w:p>
    <w:p w14:paraId="64B0097C" w14:textId="77777777" w:rsidR="00EF4A81" w:rsidRDefault="00D77DFF" w:rsidP="00462410">
      <w:pPr>
        <w:jc w:val="both"/>
      </w:pPr>
      <w:r w:rsidRPr="006465D5">
        <w:lastRenderedPageBreak/>
        <w:t>Projekty mohou obdržet až 100 % podporu nákladové mezery</w:t>
      </w:r>
      <w:r w:rsidR="005F5534">
        <w:t xml:space="preserve"> (rozdíl mezi způsobilými náklady a provozním ziskem z investice)</w:t>
      </w:r>
      <w:r w:rsidRPr="006465D5">
        <w:t xml:space="preserve"> – nutno zpracovat CBA pro veřejnou podporu a</w:t>
      </w:r>
      <w:r w:rsidR="00CE630D">
        <w:t> </w:t>
      </w:r>
      <w:r w:rsidRPr="006465D5">
        <w:t xml:space="preserve">podložit relevantními podklady. </w:t>
      </w:r>
    </w:p>
    <w:p w14:paraId="5068BA8E" w14:textId="77777777" w:rsidR="006465D5" w:rsidRPr="006465D5" w:rsidRDefault="00D77DFF" w:rsidP="00462410">
      <w:pPr>
        <w:jc w:val="both"/>
      </w:pPr>
      <w:r w:rsidRPr="006465D5">
        <w:t>Skutečné maximum podpory se řídí podmínkami programu.</w:t>
      </w:r>
    </w:p>
    <w:p w14:paraId="5CC9B1A0" w14:textId="77777777" w:rsidR="000D6CA8" w:rsidRPr="000D6CA8" w:rsidRDefault="00D77DFF" w:rsidP="00462410">
      <w:pPr>
        <w:pStyle w:val="OM-nadpis4"/>
      </w:pPr>
      <w:r w:rsidRPr="000D6CA8">
        <w:t>Oblasti (tzv. kategorie) podpory Nařízení ABER</w:t>
      </w:r>
    </w:p>
    <w:p w14:paraId="40B03160" w14:textId="77777777" w:rsidR="00DF3993" w:rsidRDefault="00D77DFF" w:rsidP="00462410">
      <w:pPr>
        <w:pStyle w:val="OM-nadpis5"/>
      </w:pPr>
      <w:r w:rsidRPr="00DF3993">
        <w:t>Podpora na investice do zemědělských podniků související se zemědělskou prvovýrobou (</w:t>
      </w:r>
      <w:r>
        <w:t>článek</w:t>
      </w:r>
      <w:r w:rsidRPr="00DF3993">
        <w:t xml:space="preserve"> </w:t>
      </w:r>
      <w:r w:rsidRPr="00DF3993">
        <w:rPr>
          <w:bCs/>
        </w:rPr>
        <w:t>14</w:t>
      </w:r>
      <w:r>
        <w:rPr>
          <w:bCs/>
        </w:rPr>
        <w:t>)</w:t>
      </w:r>
    </w:p>
    <w:p w14:paraId="4262F915" w14:textId="77777777" w:rsidR="00DF3993" w:rsidRDefault="00D77DFF" w:rsidP="00462410">
      <w:pPr>
        <w:jc w:val="both"/>
      </w:pPr>
      <w:r w:rsidRPr="00DF3993">
        <w:t>Podpora je vhodná pro projekty, které povedou přispění k zastavení a zvrácení úbytku biologické rozmanitosti, posílení ekosystémových služeb a zachování stanovišť a krajin.</w:t>
      </w:r>
    </w:p>
    <w:p w14:paraId="69FA5FDC" w14:textId="77777777" w:rsidR="00DF3993" w:rsidRPr="00DF3993" w:rsidRDefault="00D77DFF" w:rsidP="00462410">
      <w:pPr>
        <w:jc w:val="both"/>
      </w:pPr>
      <w:r w:rsidRPr="00DF3993">
        <w:t xml:space="preserve">Způsobilými příjemci jsou výhradně </w:t>
      </w:r>
      <w:r w:rsidRPr="00DF3993">
        <w:rPr>
          <w:bCs/>
        </w:rPr>
        <w:t>malé a střední podniky</w:t>
      </w:r>
      <w:r w:rsidRPr="00DF3993">
        <w:t xml:space="preserve"> činné v zemědělské prvovýrobě</w:t>
      </w:r>
      <w:r>
        <w:t>.</w:t>
      </w:r>
    </w:p>
    <w:p w14:paraId="453C74D5" w14:textId="77777777" w:rsidR="00DF3993" w:rsidRPr="00DF3993" w:rsidRDefault="00D77DFF" w:rsidP="00462410">
      <w:pPr>
        <w:numPr>
          <w:ilvl w:val="0"/>
          <w:numId w:val="19"/>
        </w:numPr>
        <w:jc w:val="both"/>
      </w:pPr>
      <w:r w:rsidRPr="00DF3993">
        <w:t>Žadatel nad rámec standardních příloh doloží ČP k inkasnímu příkazu</w:t>
      </w:r>
      <w:r w:rsidR="00DC0995">
        <w:t>.</w:t>
      </w:r>
    </w:p>
    <w:p w14:paraId="3B5AD729" w14:textId="77777777" w:rsidR="00DF3993" w:rsidRPr="00DF3993" w:rsidRDefault="00D77DFF" w:rsidP="00462410">
      <w:pPr>
        <w:numPr>
          <w:ilvl w:val="0"/>
          <w:numId w:val="19"/>
        </w:numPr>
        <w:jc w:val="both"/>
      </w:pPr>
      <w:r w:rsidRPr="00DF3993">
        <w:t>Podpora je omezena maximem stanoveným výzvou.</w:t>
      </w:r>
    </w:p>
    <w:p w14:paraId="26FD1A2F" w14:textId="77777777" w:rsidR="00DF3993" w:rsidRPr="00DF3993" w:rsidRDefault="00D77DFF" w:rsidP="00462410">
      <w:pPr>
        <w:numPr>
          <w:ilvl w:val="0"/>
          <w:numId w:val="19"/>
        </w:numPr>
        <w:jc w:val="both"/>
      </w:pPr>
      <w:r w:rsidRPr="00DF3993">
        <w:t>Notifikační práh je 600 000 EUR na podnik a projekt.</w:t>
      </w:r>
    </w:p>
    <w:p w14:paraId="56E25231" w14:textId="77777777" w:rsidR="00DF3993" w:rsidRPr="00DF3993" w:rsidRDefault="00D77DFF" w:rsidP="00462410">
      <w:pPr>
        <w:jc w:val="both"/>
      </w:pPr>
      <w:r w:rsidRPr="00DF3993">
        <w:t>Do způsobilých výdajů patří např.</w:t>
      </w:r>
    </w:p>
    <w:p w14:paraId="437808D4" w14:textId="77777777" w:rsidR="00DF3993" w:rsidRPr="00DF3993" w:rsidRDefault="00D77DFF" w:rsidP="00462410">
      <w:pPr>
        <w:numPr>
          <w:ilvl w:val="0"/>
          <w:numId w:val="19"/>
        </w:numPr>
        <w:jc w:val="both"/>
      </w:pPr>
      <w:r w:rsidRPr="00DF3993">
        <w:t xml:space="preserve">prořezávky včetně prostřihávek, realizované za účelem udržení a podpory pestré druhové a prostorové struktury mladých porostů, </w:t>
      </w:r>
    </w:p>
    <w:p w14:paraId="6EF77D7C" w14:textId="77777777" w:rsidR="004228A2" w:rsidRDefault="00D77DFF" w:rsidP="00462410">
      <w:pPr>
        <w:numPr>
          <w:ilvl w:val="0"/>
          <w:numId w:val="19"/>
        </w:numPr>
        <w:jc w:val="both"/>
      </w:pPr>
      <w:r w:rsidRPr="00DF3993">
        <w:t>těžba s využitím výběrných principů s maximální velikostí obnovních prvků 0,1 ha zaměřená na úpravu a zlepšení prostorové a druhové skladby lesních porostů směrem k přírodě blízké struktuře a zlepšení jejich ekologické stability.</w:t>
      </w:r>
      <w:bookmarkStart w:id="7" w:name="_Hlk199349904"/>
    </w:p>
    <w:bookmarkEnd w:id="7"/>
    <w:p w14:paraId="27960166" w14:textId="77777777" w:rsidR="00DF3993" w:rsidRPr="00DF3993" w:rsidRDefault="00D77DFF" w:rsidP="00462410">
      <w:pPr>
        <w:numPr>
          <w:ilvl w:val="4"/>
          <w:numId w:val="4"/>
        </w:numPr>
        <w:jc w:val="both"/>
        <w:rPr>
          <w:b/>
        </w:rPr>
      </w:pPr>
      <w:r w:rsidRPr="00DF3993">
        <w:rPr>
          <w:b/>
        </w:rPr>
        <w:t>Podpora na investice ve prospěch zachování kulturního a přírodního dědictví, které se nachází v zemědělských podnicích nebo v lesích (článek 36)</w:t>
      </w:r>
    </w:p>
    <w:p w14:paraId="40C06991" w14:textId="77777777" w:rsidR="00DF3993" w:rsidRDefault="00D77DFF" w:rsidP="00462410">
      <w:pPr>
        <w:jc w:val="both"/>
      </w:pPr>
      <w:bookmarkStart w:id="8" w:name="_Hlk199350030"/>
      <w:r w:rsidRPr="00DF3993">
        <w:t>Podpora je vhodná pro projekty s povahou opatření v lesích a na zemědělské krajině, které se nacházejí v chráněných územích.</w:t>
      </w:r>
    </w:p>
    <w:p w14:paraId="309EAC67" w14:textId="77777777" w:rsidR="00DF3993" w:rsidRPr="00DF3993" w:rsidRDefault="00D77DFF" w:rsidP="00462410">
      <w:pPr>
        <w:numPr>
          <w:ilvl w:val="0"/>
          <w:numId w:val="19"/>
        </w:numPr>
        <w:jc w:val="both"/>
      </w:pPr>
      <w:r w:rsidRPr="00DF3993">
        <w:t>Žadatel nad rámec standardních příloh doloží ČP k inkasnímu příkazu.</w:t>
      </w:r>
    </w:p>
    <w:p w14:paraId="5248C542" w14:textId="77777777" w:rsidR="00DF3993" w:rsidRPr="00DF3993" w:rsidRDefault="00D77DFF" w:rsidP="00462410">
      <w:pPr>
        <w:numPr>
          <w:ilvl w:val="0"/>
          <w:numId w:val="19"/>
        </w:numPr>
        <w:jc w:val="both"/>
      </w:pPr>
      <w:r w:rsidRPr="00DF3993">
        <w:t>Podpora je omezena maximem stanoveným výzvou.</w:t>
      </w:r>
    </w:p>
    <w:p w14:paraId="4CC446A6" w14:textId="77777777" w:rsidR="00DF3993" w:rsidRPr="00DF3993" w:rsidRDefault="00D77DFF" w:rsidP="00462410">
      <w:pPr>
        <w:numPr>
          <w:ilvl w:val="0"/>
          <w:numId w:val="19"/>
        </w:numPr>
        <w:jc w:val="both"/>
      </w:pPr>
      <w:r w:rsidRPr="00DF3993">
        <w:t>Notifikační práh je 600 000 EUR na podnik a projekt.</w:t>
      </w:r>
    </w:p>
    <w:bookmarkEnd w:id="8"/>
    <w:p w14:paraId="20D727B2" w14:textId="77777777" w:rsidR="00DF3993" w:rsidRPr="00DF3993" w:rsidRDefault="00D77DFF" w:rsidP="00462410">
      <w:pPr>
        <w:numPr>
          <w:ilvl w:val="4"/>
          <w:numId w:val="4"/>
        </w:numPr>
        <w:jc w:val="both"/>
        <w:rPr>
          <w:b/>
        </w:rPr>
      </w:pPr>
      <w:r w:rsidRPr="00DF3993">
        <w:rPr>
          <w:b/>
        </w:rPr>
        <w:t>Podpora na investice ke zvýšení odolnosti a ekologické hodnoty lesních ekosystémů (článek 44)</w:t>
      </w:r>
    </w:p>
    <w:p w14:paraId="791AA5E3" w14:textId="77777777" w:rsidR="00DF3993" w:rsidRDefault="00D77DFF" w:rsidP="00462410">
      <w:pPr>
        <w:jc w:val="both"/>
      </w:pPr>
      <w:bookmarkStart w:id="9" w:name="_Hlk199350154"/>
      <w:r w:rsidRPr="00DF3993">
        <w:t>Podpora je vhodná pro projekty, kde budou podporovány projekty větrolamů a podpora přechodu na obhospodařování lesních porostů s využitím zejména výběrných principů s</w:t>
      </w:r>
      <w:r w:rsidR="00462410">
        <w:t> </w:t>
      </w:r>
      <w:r w:rsidRPr="00DF3993">
        <w:t>maximální velikostí obnovních prvků 0,1 ha</w:t>
      </w:r>
      <w:r w:rsidR="00025F3C">
        <w:t>.</w:t>
      </w:r>
    </w:p>
    <w:p w14:paraId="0E5AE796" w14:textId="77777777" w:rsidR="00DF3993" w:rsidRPr="00DF3993" w:rsidRDefault="00D77DFF" w:rsidP="00462410">
      <w:pPr>
        <w:numPr>
          <w:ilvl w:val="0"/>
          <w:numId w:val="19"/>
        </w:numPr>
        <w:jc w:val="both"/>
      </w:pPr>
      <w:r w:rsidRPr="00DF3993">
        <w:t>Žadatel nad rámec standardních příloh doloží ČP k inkasnímu příkazu.</w:t>
      </w:r>
    </w:p>
    <w:p w14:paraId="50730B2E" w14:textId="77777777" w:rsidR="00DF3993" w:rsidRPr="00DF3993" w:rsidRDefault="00D77DFF" w:rsidP="00462410">
      <w:pPr>
        <w:numPr>
          <w:ilvl w:val="0"/>
          <w:numId w:val="19"/>
        </w:numPr>
        <w:jc w:val="both"/>
      </w:pPr>
      <w:r w:rsidRPr="00DF3993">
        <w:t>Podpora je omezena maximem stanoveným výzvou.</w:t>
      </w:r>
    </w:p>
    <w:p w14:paraId="6880CB8F" w14:textId="77777777" w:rsidR="00DF3993" w:rsidRPr="00DF3993" w:rsidRDefault="00D77DFF" w:rsidP="00462410">
      <w:pPr>
        <w:numPr>
          <w:ilvl w:val="0"/>
          <w:numId w:val="19"/>
        </w:numPr>
        <w:jc w:val="both"/>
      </w:pPr>
      <w:r w:rsidRPr="00DF3993">
        <w:t>Notifikační práh je 7,5 mil EUR na projekt.</w:t>
      </w:r>
    </w:p>
    <w:bookmarkEnd w:id="9"/>
    <w:p w14:paraId="300E23B6" w14:textId="77777777" w:rsidR="00DF3993" w:rsidRPr="00DF3993" w:rsidRDefault="00D77DFF" w:rsidP="00462410">
      <w:pPr>
        <w:numPr>
          <w:ilvl w:val="4"/>
          <w:numId w:val="4"/>
        </w:numPr>
        <w:jc w:val="both"/>
        <w:rPr>
          <w:b/>
        </w:rPr>
      </w:pPr>
      <w:r w:rsidRPr="00DF3993">
        <w:rPr>
          <w:b/>
        </w:rPr>
        <w:t>Podpora na investice do lesnických technologií a zpracování, uvolnění a uvádění lesnických produktů na trh (článek 50)</w:t>
      </w:r>
    </w:p>
    <w:p w14:paraId="297CD323" w14:textId="77777777" w:rsidR="00DF3993" w:rsidRDefault="00D77DFF" w:rsidP="00462410">
      <w:pPr>
        <w:jc w:val="both"/>
      </w:pPr>
      <w:r w:rsidRPr="00DF3993">
        <w:lastRenderedPageBreak/>
        <w:t>Podpora je vhodná pro projekty s povahou opatření v lesích, ve kterém jsou součástí komplexního projektu činnosti těžebního a pěstebního charakteru.</w:t>
      </w:r>
    </w:p>
    <w:p w14:paraId="34BCAD46" w14:textId="77777777" w:rsidR="00DF3993" w:rsidRPr="00DF3993" w:rsidRDefault="00D77DFF" w:rsidP="00462410">
      <w:pPr>
        <w:numPr>
          <w:ilvl w:val="0"/>
          <w:numId w:val="19"/>
        </w:numPr>
        <w:jc w:val="both"/>
      </w:pPr>
      <w:r w:rsidRPr="00DF3993">
        <w:t>Žadatel nad rámec standardních příloh doloží ČP k inkasnímu příkazu.</w:t>
      </w:r>
    </w:p>
    <w:p w14:paraId="45501BD0" w14:textId="77777777" w:rsidR="00DF6F40" w:rsidRDefault="00D77DFF" w:rsidP="00462410">
      <w:pPr>
        <w:numPr>
          <w:ilvl w:val="0"/>
          <w:numId w:val="19"/>
        </w:numPr>
        <w:jc w:val="both"/>
      </w:pPr>
      <w:r w:rsidRPr="00DF3993">
        <w:t>Podpora je omezena maximem stanoveným výzvou.</w:t>
      </w:r>
    </w:p>
    <w:p w14:paraId="2D47DC0C" w14:textId="77777777" w:rsidR="00AC0601" w:rsidRPr="00AC0601" w:rsidRDefault="00D77DFF" w:rsidP="00462410">
      <w:pPr>
        <w:numPr>
          <w:ilvl w:val="0"/>
          <w:numId w:val="19"/>
        </w:numPr>
        <w:jc w:val="both"/>
      </w:pPr>
      <w:r w:rsidRPr="00AC0601">
        <w:t>Notifikační práh je 7,5 mil EUR na projekt</w:t>
      </w:r>
      <w:r w:rsidRPr="00DF3993">
        <w:t>.</w:t>
      </w:r>
    </w:p>
    <w:p w14:paraId="38D177E6" w14:textId="77777777" w:rsidR="00DF57AC" w:rsidRPr="00DF57AC" w:rsidRDefault="00D77DFF" w:rsidP="00462410">
      <w:pPr>
        <w:pStyle w:val="OM-nadpis4"/>
      </w:pPr>
      <w:bookmarkStart w:id="10" w:name="_Toc404260715"/>
      <w:bookmarkStart w:id="11" w:name="_Ref428368948"/>
      <w:bookmarkStart w:id="12" w:name="_Hlk155793209"/>
      <w:r w:rsidRPr="00DF57AC">
        <w:t>Podpor</w:t>
      </w:r>
      <w:r w:rsidR="00A92DEC">
        <w:t>y</w:t>
      </w:r>
      <w:r w:rsidRPr="00DF57AC">
        <w:t xml:space="preserve"> </w:t>
      </w:r>
      <w:bookmarkEnd w:id="10"/>
      <w:r w:rsidRPr="00DF57AC">
        <w:t>de minimis</w:t>
      </w:r>
      <w:bookmarkEnd w:id="11"/>
    </w:p>
    <w:p w14:paraId="56F18D97" w14:textId="77777777" w:rsidR="00DF57AC" w:rsidRPr="00DF57AC" w:rsidRDefault="00D77DFF" w:rsidP="00462410">
      <w:pPr>
        <w:jc w:val="both"/>
      </w:pPr>
      <w:r w:rsidRPr="00DF57AC">
        <w:t>Podporu de minimis lze použít pouze na transparentní typy podpor, popř. na takové typy opatření, u nichž je možné přesně vyčíslit výši podpory. Za transparentní podporu lze</w:t>
      </w:r>
      <w:r w:rsidR="007D3F19">
        <w:t> </w:t>
      </w:r>
      <w:r w:rsidRPr="00DF57AC">
        <w:t>považovat podporu, pro niž lze přesně vypočíst hrubý ekvivalent grantu ex ante bez</w:t>
      </w:r>
      <w:r w:rsidR="007D3F19">
        <w:t> </w:t>
      </w:r>
      <w:r w:rsidRPr="00DF57AC">
        <w:t>potřeby provádět hodnocení rizik.</w:t>
      </w:r>
    </w:p>
    <w:p w14:paraId="0BD1CE4C" w14:textId="77777777" w:rsidR="00DF57AC" w:rsidRPr="00DF57AC" w:rsidRDefault="00D77DFF" w:rsidP="00462410">
      <w:pPr>
        <w:jc w:val="both"/>
      </w:pPr>
      <w:r w:rsidRPr="00DF57AC">
        <w:t xml:space="preserve">Pro potřeby podpory de minimis je za jeden podnik považována „skupina“ podniků (propojené podniky). Metodika „jeden podnik“ je </w:t>
      </w:r>
      <w:r w:rsidR="001F0E7E">
        <w:t>k dispozici</w:t>
      </w:r>
      <w:r w:rsidR="001F0E7E" w:rsidRPr="00DF57AC">
        <w:t xml:space="preserve"> </w:t>
      </w:r>
      <w:r w:rsidR="006B6815">
        <w:t>na webu NP</w:t>
      </w:r>
      <w:r w:rsidR="006B6815" w:rsidRPr="0009170E">
        <w:t>ŽP</w:t>
      </w:r>
      <w:r w:rsidRPr="0009170E">
        <w:t>.</w:t>
      </w:r>
    </w:p>
    <w:p w14:paraId="0AE3F76E" w14:textId="77777777" w:rsidR="00DF57AC" w:rsidRPr="00DF57AC" w:rsidRDefault="00D77DFF" w:rsidP="00462410">
      <w:pPr>
        <w:jc w:val="both"/>
      </w:pPr>
      <w:r w:rsidRPr="00DF57AC">
        <w:t xml:space="preserve">Pro orgány veřejné moci a jimi vlastněné podniky platí alternativní podmínky, </w:t>
      </w:r>
      <w:r w:rsidR="007D3F19">
        <w:br/>
      </w:r>
      <w:r w:rsidRPr="00DF57AC">
        <w:t xml:space="preserve">pokud podniky vlastněné jedním městem nebo obcí mají rozdílný předmět činnosti, </w:t>
      </w:r>
      <w:r w:rsidR="007D3F19">
        <w:br/>
      </w:r>
      <w:r w:rsidRPr="00DF57AC">
        <w:t>nejsou považovány za propojené</w:t>
      </w:r>
      <w:r w:rsidR="00633D6E">
        <w:t>,</w:t>
      </w:r>
      <w:r w:rsidRPr="00DF57AC">
        <w:t xml:space="preserve"> a tedy za jeden podnik.</w:t>
      </w:r>
    </w:p>
    <w:p w14:paraId="6697E4D1" w14:textId="77777777" w:rsidR="00756BC5" w:rsidRPr="00DF57AC" w:rsidRDefault="00D77DFF" w:rsidP="00462410">
      <w:pPr>
        <w:jc w:val="both"/>
        <w:rPr>
          <w:bCs/>
        </w:rPr>
      </w:pPr>
      <w:r w:rsidRPr="00DF57AC">
        <w:rPr>
          <w:bCs/>
        </w:rPr>
        <w:t xml:space="preserve">Podpora je považována za poskytnutou dnem </w:t>
      </w:r>
      <w:r>
        <w:rPr>
          <w:bCs/>
        </w:rPr>
        <w:t>účinnosti</w:t>
      </w:r>
      <w:r w:rsidRPr="00DF57AC">
        <w:rPr>
          <w:bCs/>
        </w:rPr>
        <w:t xml:space="preserve"> právního aktu, jímž příjemce získal na podporu právní nárok, částka podpory v Kč je určena na základě přepočtu kurzem Evropské centrální banky k</w:t>
      </w:r>
      <w:r>
        <w:rPr>
          <w:bCs/>
        </w:rPr>
        <w:t> tomuto datu</w:t>
      </w:r>
      <w:r w:rsidRPr="00DF57AC">
        <w:rPr>
          <w:bCs/>
        </w:rPr>
        <w:t>.</w:t>
      </w:r>
    </w:p>
    <w:p w14:paraId="6C32060E" w14:textId="77777777" w:rsidR="00DF57AC" w:rsidRPr="00DF57AC" w:rsidRDefault="00D77DFF" w:rsidP="00462410">
      <w:pPr>
        <w:jc w:val="both"/>
        <w:rPr>
          <w:bCs/>
        </w:rPr>
      </w:pPr>
      <w:r w:rsidRPr="00DF57AC">
        <w:rPr>
          <w:bCs/>
        </w:rPr>
        <w:t>Údaje o podporách de minimis jsou zanášeny do registru de minimis v zákonné lhůtě 5</w:t>
      </w:r>
      <w:r w:rsidR="00CE630D">
        <w:rPr>
          <w:bCs/>
        </w:rPr>
        <w:t> </w:t>
      </w:r>
      <w:r w:rsidRPr="00DF57AC">
        <w:rPr>
          <w:bCs/>
        </w:rPr>
        <w:t>pracovních dnů od jejich poskytnutí. Zápis do registru provádí poskytovatel dotace.</w:t>
      </w:r>
    </w:p>
    <w:p w14:paraId="561F4903" w14:textId="77777777" w:rsidR="00DF57AC" w:rsidRPr="00634F12" w:rsidRDefault="00D77DFF" w:rsidP="00462410">
      <w:pPr>
        <w:jc w:val="both"/>
        <w:rPr>
          <w:bCs/>
        </w:rPr>
      </w:pPr>
      <w:r w:rsidRPr="00634F12">
        <w:rPr>
          <w:bCs/>
        </w:rPr>
        <w:t>Žadatel, který žádá o poskytnutí podpory de minimis doloží prohlášení o podporách de</w:t>
      </w:r>
      <w:r w:rsidR="00CE630D">
        <w:rPr>
          <w:bCs/>
        </w:rPr>
        <w:t> </w:t>
      </w:r>
      <w:r w:rsidRPr="00634F12">
        <w:rPr>
          <w:bCs/>
        </w:rPr>
        <w:t>minimis čerpaných podnikem (skupinou podniků).</w:t>
      </w:r>
    </w:p>
    <w:p w14:paraId="0940D0BC" w14:textId="77777777" w:rsidR="002F6133" w:rsidRPr="00462410" w:rsidRDefault="00D77DFF" w:rsidP="00462410">
      <w:pPr>
        <w:jc w:val="both"/>
        <w:rPr>
          <w:bCs/>
        </w:rPr>
      </w:pPr>
      <w:r w:rsidRPr="00634F12">
        <w:rPr>
          <w:bCs/>
        </w:rPr>
        <w:t>Podpory de minimis jsou rozlišené odvětvově a lze je poskytovat podle následujících předpisů:</w:t>
      </w:r>
    </w:p>
    <w:p w14:paraId="16946B34" w14:textId="77777777" w:rsidR="00DF57AC" w:rsidRPr="00634F12" w:rsidRDefault="00D77DFF" w:rsidP="00462410">
      <w:pPr>
        <w:pStyle w:val="OM-nadpis5"/>
      </w:pPr>
      <w:r w:rsidRPr="00634F12">
        <w:t xml:space="preserve">Podpora v režimu de minimis podle </w:t>
      </w:r>
      <w:r w:rsidR="00A02BA7" w:rsidRPr="00634F12">
        <w:t>n</w:t>
      </w:r>
      <w:r w:rsidR="00D2333D" w:rsidRPr="00634F12">
        <w:t>ařízení Komise (EU) 2023/2831 ze dne 13. prosince 2023 o použití článků 107 a 108 Smlouvy o</w:t>
      </w:r>
      <w:r w:rsidR="00CE630D">
        <w:t> </w:t>
      </w:r>
      <w:r w:rsidR="00D2333D" w:rsidRPr="00634F12">
        <w:t>fungování Evropské unie na podporu de minimis</w:t>
      </w:r>
      <w:r w:rsidR="00D37007" w:rsidRPr="00634F12">
        <w:t>, které nahrazuje nařízení Komise (EU) č. 1407/2013 ze dne 18. prosince 2013 o použití článků 107 a 108 Smlouvy o fungování Evropské unie na podporu de minimis</w:t>
      </w:r>
    </w:p>
    <w:p w14:paraId="56E1787D" w14:textId="77777777" w:rsidR="00DF57AC" w:rsidRPr="00634F12" w:rsidRDefault="00D77DFF" w:rsidP="00462410">
      <w:pPr>
        <w:pStyle w:val="Odstavecseseznamem"/>
        <w:numPr>
          <w:ilvl w:val="0"/>
          <w:numId w:val="21"/>
        </w:numPr>
        <w:jc w:val="both"/>
        <w:rPr>
          <w:bCs/>
        </w:rPr>
      </w:pPr>
      <w:r w:rsidRPr="00634F12">
        <w:rPr>
          <w:bCs/>
        </w:rPr>
        <w:t>Vhodná pro investičně méně náročné projekty napříč opatřeními</w:t>
      </w:r>
    </w:p>
    <w:p w14:paraId="22D84202" w14:textId="77777777" w:rsidR="00DF57AC" w:rsidRPr="00634F12" w:rsidRDefault="00D77DFF" w:rsidP="00462410">
      <w:pPr>
        <w:jc w:val="both"/>
        <w:rPr>
          <w:bCs/>
        </w:rPr>
      </w:pPr>
      <w:r w:rsidRPr="00634F12">
        <w:rPr>
          <w:bCs/>
        </w:rPr>
        <w:t>Podpora je omezena maximem stanoveným výzvou a zároveň dostupným limitem v</w:t>
      </w:r>
      <w:r w:rsidR="00CE630D">
        <w:rPr>
          <w:bCs/>
        </w:rPr>
        <w:t> </w:t>
      </w:r>
      <w:r w:rsidRPr="00634F12">
        <w:rPr>
          <w:bCs/>
        </w:rPr>
        <w:t>souladu s údaji v Registru podpor malého rozsahu</w:t>
      </w:r>
      <w:r w:rsidR="006112F3" w:rsidRPr="00634F12">
        <w:rPr>
          <w:bCs/>
        </w:rPr>
        <w:t>.</w:t>
      </w:r>
    </w:p>
    <w:p w14:paraId="5D68FE19" w14:textId="77777777" w:rsidR="00DF57AC" w:rsidRPr="00634F12" w:rsidRDefault="00D77DFF" w:rsidP="00462410">
      <w:pPr>
        <w:jc w:val="both"/>
        <w:rPr>
          <w:bCs/>
        </w:rPr>
      </w:pPr>
      <w:r w:rsidRPr="00634F12">
        <w:rPr>
          <w:bCs/>
        </w:rPr>
        <w:t xml:space="preserve">Podpora nesmí překročit </w:t>
      </w:r>
      <w:r w:rsidR="002F6133" w:rsidRPr="00634F12">
        <w:rPr>
          <w:bCs/>
        </w:rPr>
        <w:t>3</w:t>
      </w:r>
      <w:r w:rsidRPr="00634F12">
        <w:rPr>
          <w:bCs/>
        </w:rPr>
        <w:t xml:space="preserve">00 000 EUR </w:t>
      </w:r>
      <w:r w:rsidR="0082524D" w:rsidRPr="00634F12">
        <w:rPr>
          <w:bCs/>
        </w:rPr>
        <w:t>za tři roky předcházející dni poskytnutí podpory</w:t>
      </w:r>
      <w:r w:rsidRPr="00634F12">
        <w:rPr>
          <w:bCs/>
        </w:rPr>
        <w:t>.</w:t>
      </w:r>
    </w:p>
    <w:p w14:paraId="1FE8E7D7" w14:textId="77777777" w:rsidR="00DF57AC" w:rsidRPr="00DF57AC" w:rsidRDefault="00D77DFF" w:rsidP="00462410">
      <w:pPr>
        <w:jc w:val="both"/>
        <w:rPr>
          <w:bCs/>
        </w:rPr>
      </w:pPr>
      <w:r w:rsidRPr="00634F12">
        <w:rPr>
          <w:bCs/>
        </w:rPr>
        <w:t>Žadatel předloží nad rámec standardních příloh čestné prohlášení</w:t>
      </w:r>
      <w:r w:rsidRPr="00DF57AC">
        <w:rPr>
          <w:bCs/>
        </w:rPr>
        <w:t xml:space="preserve"> o podporách de minimis.</w:t>
      </w:r>
    </w:p>
    <w:bookmarkEnd w:id="12"/>
    <w:p w14:paraId="4512E604" w14:textId="77777777" w:rsidR="00DF57AC" w:rsidRPr="00DF57AC" w:rsidRDefault="00D77DFF" w:rsidP="00462410">
      <w:pPr>
        <w:pStyle w:val="OM-nadpis5"/>
      </w:pPr>
      <w:r w:rsidRPr="00DF57AC">
        <w:t>Podpora v režimu de minimis podle Nařízení 1408/2013</w:t>
      </w:r>
    </w:p>
    <w:p w14:paraId="010F092A" w14:textId="77777777" w:rsidR="00DF57AC" w:rsidRPr="00D16D5E" w:rsidRDefault="00D77DFF" w:rsidP="00462410">
      <w:pPr>
        <w:pStyle w:val="Odstavecseseznamem"/>
        <w:numPr>
          <w:ilvl w:val="0"/>
          <w:numId w:val="21"/>
        </w:numPr>
        <w:jc w:val="both"/>
        <w:rPr>
          <w:bCs/>
        </w:rPr>
      </w:pPr>
      <w:r w:rsidRPr="00D16D5E">
        <w:rPr>
          <w:bCs/>
        </w:rPr>
        <w:t>Vhodná pro investičně méně náročné projekty pro subjekty činné v odvětví zemědělské prvovýroby</w:t>
      </w:r>
    </w:p>
    <w:p w14:paraId="38DF3E57" w14:textId="77777777" w:rsidR="00DF57AC" w:rsidRPr="00DF57AC" w:rsidRDefault="00D77DFF" w:rsidP="00462410">
      <w:pPr>
        <w:jc w:val="both"/>
        <w:rPr>
          <w:bCs/>
        </w:rPr>
      </w:pPr>
      <w:r w:rsidRPr="00DF57AC">
        <w:rPr>
          <w:bCs/>
        </w:rPr>
        <w:t>Podpora je omezena maximem stanoveným výzvou a zároveň dostupným limitem v</w:t>
      </w:r>
      <w:r w:rsidR="00CE630D">
        <w:rPr>
          <w:bCs/>
        </w:rPr>
        <w:t> </w:t>
      </w:r>
      <w:r w:rsidRPr="00DF57AC">
        <w:rPr>
          <w:bCs/>
        </w:rPr>
        <w:t>souladu s údaji v Registru podpor malého rozsahu</w:t>
      </w:r>
      <w:r w:rsidR="006112F3">
        <w:rPr>
          <w:bCs/>
        </w:rPr>
        <w:t>.</w:t>
      </w:r>
    </w:p>
    <w:p w14:paraId="67675E47" w14:textId="77777777" w:rsidR="00DF57AC" w:rsidRPr="00DF57AC" w:rsidRDefault="00D77DFF" w:rsidP="00462410">
      <w:pPr>
        <w:jc w:val="both"/>
        <w:rPr>
          <w:bCs/>
        </w:rPr>
      </w:pPr>
      <w:r w:rsidRPr="00DF57AC">
        <w:rPr>
          <w:bCs/>
        </w:rPr>
        <w:lastRenderedPageBreak/>
        <w:t xml:space="preserve">Podpora nesmí překročit </w:t>
      </w:r>
      <w:r w:rsidR="00F14FE9">
        <w:rPr>
          <w:bCs/>
        </w:rPr>
        <w:t>5</w:t>
      </w:r>
      <w:r w:rsidR="00F14FE9" w:rsidRPr="00DF57AC">
        <w:rPr>
          <w:bCs/>
        </w:rPr>
        <w:t xml:space="preserve">0 </w:t>
      </w:r>
      <w:r w:rsidRPr="00DF57AC">
        <w:rPr>
          <w:bCs/>
        </w:rPr>
        <w:t>000 EUR</w:t>
      </w:r>
      <w:r w:rsidR="006B58C4" w:rsidRPr="006B58C4">
        <w:rPr>
          <w:bCs/>
        </w:rPr>
        <w:t xml:space="preserve"> za tři roky předcházející dni poskytnutí podpory</w:t>
      </w:r>
      <w:r w:rsidR="006112F3">
        <w:rPr>
          <w:bCs/>
        </w:rPr>
        <w:t>.</w:t>
      </w:r>
    </w:p>
    <w:p w14:paraId="0398CAD3" w14:textId="77777777" w:rsidR="00DF57AC" w:rsidRPr="00DF57AC" w:rsidRDefault="00D77DFF" w:rsidP="00462410">
      <w:pPr>
        <w:jc w:val="both"/>
        <w:rPr>
          <w:bCs/>
        </w:rPr>
      </w:pPr>
      <w:r w:rsidRPr="00DF57AC">
        <w:rPr>
          <w:bCs/>
        </w:rPr>
        <w:t>Žadatel předloží nad rámec standardních příloh čestné prohlášení o podporách de minimis</w:t>
      </w:r>
      <w:r w:rsidR="006112F3">
        <w:rPr>
          <w:bCs/>
        </w:rPr>
        <w:t>.</w:t>
      </w:r>
    </w:p>
    <w:p w14:paraId="17A9ABE4" w14:textId="77777777" w:rsidR="00DF57AC" w:rsidRPr="00DF57AC" w:rsidRDefault="00D77DFF" w:rsidP="00462410">
      <w:pPr>
        <w:pStyle w:val="OM-nadpis5"/>
      </w:pPr>
      <w:r w:rsidRPr="00DF57AC">
        <w:t>Podpora v režimu de minimis podle Nařízení 717/2014</w:t>
      </w:r>
    </w:p>
    <w:p w14:paraId="6333F5E2" w14:textId="77777777" w:rsidR="00DF57AC" w:rsidRPr="00DF57AC" w:rsidRDefault="00D77DFF" w:rsidP="00462410">
      <w:pPr>
        <w:pStyle w:val="Odstavecseseznamem"/>
        <w:numPr>
          <w:ilvl w:val="0"/>
          <w:numId w:val="21"/>
        </w:numPr>
        <w:jc w:val="both"/>
        <w:rPr>
          <w:bCs/>
        </w:rPr>
      </w:pPr>
      <w:r w:rsidRPr="00DF57AC">
        <w:rPr>
          <w:bCs/>
        </w:rPr>
        <w:t>Vhodná pro investičně méně náročné projekty pro subjekty činné v odvětví akvakultury</w:t>
      </w:r>
    </w:p>
    <w:p w14:paraId="5B6CD7CF" w14:textId="77777777" w:rsidR="00DF57AC" w:rsidRPr="00DF57AC" w:rsidRDefault="00D77DFF" w:rsidP="00462410">
      <w:pPr>
        <w:jc w:val="both"/>
        <w:rPr>
          <w:bCs/>
        </w:rPr>
      </w:pPr>
      <w:r w:rsidRPr="00DF57AC">
        <w:rPr>
          <w:bCs/>
        </w:rPr>
        <w:t>Podpora je omezena maximem stanoveným výzvou a zároveň dostupným limitem v</w:t>
      </w:r>
      <w:r w:rsidR="00CE630D">
        <w:rPr>
          <w:bCs/>
        </w:rPr>
        <w:t> </w:t>
      </w:r>
      <w:r w:rsidRPr="00DF57AC">
        <w:rPr>
          <w:bCs/>
        </w:rPr>
        <w:t>souladu s údaji v Registru podpor malého rozsahu</w:t>
      </w:r>
      <w:r w:rsidR="006112F3">
        <w:rPr>
          <w:bCs/>
        </w:rPr>
        <w:t>.</w:t>
      </w:r>
    </w:p>
    <w:p w14:paraId="79A011F0" w14:textId="77777777" w:rsidR="00DF57AC" w:rsidRPr="00DF57AC" w:rsidRDefault="00D77DFF" w:rsidP="00462410">
      <w:pPr>
        <w:jc w:val="both"/>
        <w:rPr>
          <w:bCs/>
        </w:rPr>
      </w:pPr>
      <w:r w:rsidRPr="00DF57AC">
        <w:rPr>
          <w:bCs/>
        </w:rPr>
        <w:t xml:space="preserve">Podpora nesmí překročit </w:t>
      </w:r>
      <w:r w:rsidR="00F14FE9">
        <w:rPr>
          <w:bCs/>
        </w:rPr>
        <w:t>4</w:t>
      </w:r>
      <w:r w:rsidR="00F14FE9" w:rsidRPr="00DF57AC">
        <w:rPr>
          <w:bCs/>
        </w:rPr>
        <w:t xml:space="preserve">0 </w:t>
      </w:r>
      <w:r w:rsidRPr="00DF57AC">
        <w:rPr>
          <w:bCs/>
        </w:rPr>
        <w:t>000 EUR</w:t>
      </w:r>
      <w:r w:rsidR="00F14FE9" w:rsidRPr="00F14FE9">
        <w:rPr>
          <w:bCs/>
        </w:rPr>
        <w:t xml:space="preserve"> za tři roky předcházející dni poskytnutí podpory</w:t>
      </w:r>
      <w:r w:rsidR="006112F3">
        <w:rPr>
          <w:bCs/>
        </w:rPr>
        <w:t>.</w:t>
      </w:r>
    </w:p>
    <w:p w14:paraId="0CDD1A0E" w14:textId="77777777" w:rsidR="00DF57AC" w:rsidRPr="00A04D65" w:rsidRDefault="00D77DFF" w:rsidP="00462410">
      <w:pPr>
        <w:jc w:val="both"/>
        <w:rPr>
          <w:bCs/>
        </w:rPr>
      </w:pPr>
      <w:r w:rsidRPr="00DF57AC">
        <w:rPr>
          <w:bCs/>
        </w:rPr>
        <w:t>Žadatel předloží nad rámec standardních příloh čestné prohlášení o podporách de minimis.</w:t>
      </w:r>
    </w:p>
    <w:p w14:paraId="193D33ED" w14:textId="77777777" w:rsidR="00A04D65" w:rsidRPr="00A04D65" w:rsidRDefault="00D77DFF" w:rsidP="00462410">
      <w:pPr>
        <w:pStyle w:val="OM-nadpis4"/>
      </w:pPr>
      <w:bookmarkStart w:id="13" w:name="_Toc404260716"/>
      <w:bookmarkStart w:id="14" w:name="_Ref428368971"/>
      <w:r w:rsidRPr="00A04D65">
        <w:t>Služby obecného hospodářského zájmu (SGEI)</w:t>
      </w:r>
      <w:bookmarkEnd w:id="13"/>
      <w:bookmarkEnd w:id="14"/>
    </w:p>
    <w:p w14:paraId="5BFDBE59" w14:textId="77777777" w:rsidR="00A04D65" w:rsidRPr="00A04D65" w:rsidRDefault="00D77DFF" w:rsidP="00462410">
      <w:pPr>
        <w:jc w:val="both"/>
      </w:pPr>
      <w:r w:rsidRPr="00A04D65">
        <w:t xml:space="preserve">Na úvod je vhodné uvést, že pojem SGEI, není vymezen ani ve Smlouvě o fungování EU ani v sekundárním právu EU. Nicméně EK vymezila, že SGEI jsou hospodářské činnosti, jež přinášejí výsledky v celkovém veřejném zájmu a jež by na trhu nebyly bez veřejného zásahu vykonávány (nebo by byly vykonávány za odlišných podmínek, pokud jde o kvalitu, bezpečnost, dostupnost, rovné zacházení či univerzální přístup). Závazek veřejné služby vzniká poskytovateli na základě pověření a na základě kritéria obecného zájmu, </w:t>
      </w:r>
      <w:r w:rsidR="007D3F19">
        <w:br/>
      </w:r>
      <w:r w:rsidRPr="00A04D65">
        <w:t>čímž je</w:t>
      </w:r>
      <w:r w:rsidR="007D3F19">
        <w:t> </w:t>
      </w:r>
      <w:r w:rsidRPr="00A04D65">
        <w:t>zajištěno poskytování služby za podmínek umožňujících splnění jejího cíle. SGEI jsou ze</w:t>
      </w:r>
      <w:r w:rsidR="007D3F19">
        <w:t> </w:t>
      </w:r>
      <w:r w:rsidRPr="00A04D65">
        <w:t>své podstaty odkázány na dotace veřejných subjektů, jež zpravidla financují provoz poskytovatelů těchto služeb. Tyto kompenzační platby mohou zakládat veřejnou podporu. V případě podpory, která je poskytována příjemcům na poskytování SGEI, existuje zvláštní právní úprava pravidel veřejné podpory.</w:t>
      </w:r>
    </w:p>
    <w:p w14:paraId="307C3F77" w14:textId="77777777" w:rsidR="00A04D65" w:rsidRPr="009D4498" w:rsidRDefault="00D77DFF" w:rsidP="00462410">
      <w:pPr>
        <w:keepNext/>
        <w:jc w:val="both"/>
        <w:rPr>
          <w:b/>
        </w:rPr>
      </w:pPr>
      <w:r w:rsidRPr="009D4498">
        <w:rPr>
          <w:b/>
        </w:rPr>
        <w:t>Právní úprava SGEI:</w:t>
      </w:r>
    </w:p>
    <w:p w14:paraId="299B779F" w14:textId="77777777" w:rsidR="00A04D65" w:rsidRPr="00A04D65" w:rsidRDefault="00D77DFF" w:rsidP="00462410">
      <w:pPr>
        <w:numPr>
          <w:ilvl w:val="0"/>
          <w:numId w:val="12"/>
        </w:numPr>
        <w:ind w:left="788" w:hanging="431"/>
        <w:jc w:val="both"/>
      </w:pPr>
      <w:r w:rsidRPr="00A04D65">
        <w:t>sdělení Komise o použití pravidel Evropské unie v oblasti státní podpory na</w:t>
      </w:r>
      <w:r w:rsidR="007D3F19">
        <w:t> </w:t>
      </w:r>
      <w:r w:rsidRPr="00A04D65">
        <w:t>kompenzační platbu udělenou za poskytování služeb obecného hospodářského zájmu,</w:t>
      </w:r>
    </w:p>
    <w:p w14:paraId="4C48DBDD" w14:textId="77777777" w:rsidR="00A04D65" w:rsidRPr="00A04D65" w:rsidRDefault="00D77DFF" w:rsidP="00462410">
      <w:pPr>
        <w:numPr>
          <w:ilvl w:val="0"/>
          <w:numId w:val="12"/>
        </w:numPr>
        <w:ind w:left="788" w:hanging="431"/>
        <w:jc w:val="both"/>
      </w:pPr>
      <w:r w:rsidRPr="00812852">
        <w:t>A.2.1.5.</w:t>
      </w:r>
      <w:r w:rsidR="00E75290">
        <w:t>3</w:t>
      </w:r>
      <w:r w:rsidRPr="00812852">
        <w:tab/>
        <w:t xml:space="preserve">Nařízení Komise (EU) 2023/2832 ze dne 13. prosince 2023 o použití článků 107 a 108 Smlouvy o fungování Evropské unie na podporu de minimis udílenou podnikům poskytujícím služby obecného hospodářského zájmu, </w:t>
      </w:r>
      <w:r w:rsidR="007D3F19">
        <w:br/>
      </w:r>
      <w:r w:rsidRPr="00812852">
        <w:t>které nahrazuje nařízení Komise (EU) č. 360/2012 ze dne 25. dubna 2012 o použití článků 107 a 108 Smlouvy o fungování Evropské unie na podporu de minimis udílenou podnikům poskytujícím služby obecného hospodářského zájmu (</w:t>
      </w:r>
      <w:r w:rsidR="00142D52">
        <w:t>p</w:t>
      </w:r>
      <w:r w:rsidRPr="00812852">
        <w:t>o dobu přechodného období, tj. nejdéle do 30.6.2024 bude podpora poskytována dle</w:t>
      </w:r>
      <w:r w:rsidR="007D3F19">
        <w:t> </w:t>
      </w:r>
      <w:r w:rsidRPr="00812852">
        <w:t>nařízení Komise (EU) č. 360/2012)</w:t>
      </w:r>
      <w:r w:rsidRPr="00A04D65">
        <w:t>,</w:t>
      </w:r>
    </w:p>
    <w:p w14:paraId="2227839B" w14:textId="77777777" w:rsidR="00A04D65" w:rsidRPr="00A04D65" w:rsidRDefault="00D77DFF" w:rsidP="00462410">
      <w:pPr>
        <w:numPr>
          <w:ilvl w:val="0"/>
          <w:numId w:val="12"/>
        </w:numPr>
        <w:ind w:left="788" w:hanging="431"/>
        <w:jc w:val="both"/>
      </w:pPr>
      <w:r>
        <w:t>A.2.1.5.1.</w:t>
      </w:r>
      <w:r>
        <w:tab/>
        <w:t>R</w:t>
      </w:r>
      <w:r w:rsidR="00721FF8" w:rsidRPr="00A04D65">
        <w:t>ozhodnutí Komise ze dne 20. prosince 2011 o použití čl. 106 odst. 2 Smlouvy o</w:t>
      </w:r>
      <w:r w:rsidR="007D3F19">
        <w:t> </w:t>
      </w:r>
      <w:r w:rsidR="00721FF8" w:rsidRPr="00A04D65">
        <w:t>fungování Evropské unie na státní podporu ve formě kompenzační platby za</w:t>
      </w:r>
      <w:r w:rsidR="007D3F19">
        <w:t> </w:t>
      </w:r>
      <w:r w:rsidR="00721FF8" w:rsidRPr="00A04D65">
        <w:t>závazek veřejné služby udělené určitým podnikům pověřeným poskytováním SGEI,</w:t>
      </w:r>
    </w:p>
    <w:p w14:paraId="60F08E60" w14:textId="77777777" w:rsidR="00A04D65" w:rsidRPr="00A04D65" w:rsidRDefault="00D77DFF" w:rsidP="00462410">
      <w:pPr>
        <w:numPr>
          <w:ilvl w:val="0"/>
          <w:numId w:val="12"/>
        </w:numPr>
        <w:ind w:left="788" w:hanging="431"/>
        <w:jc w:val="both"/>
      </w:pPr>
      <w:r w:rsidRPr="00A04D65">
        <w:t>rámec Evropské unie pro státní podporu ve formě kompenzační za závazek veřejné služby,</w:t>
      </w:r>
    </w:p>
    <w:p w14:paraId="0792D424" w14:textId="77777777" w:rsidR="00A04D65" w:rsidRPr="00A04D65" w:rsidRDefault="00D77DFF" w:rsidP="00462410">
      <w:pPr>
        <w:numPr>
          <w:ilvl w:val="0"/>
          <w:numId w:val="12"/>
        </w:numPr>
        <w:ind w:left="788" w:hanging="431"/>
        <w:jc w:val="both"/>
        <w:rPr>
          <w:bCs/>
        </w:rPr>
      </w:pPr>
      <w:r w:rsidRPr="00A04D65">
        <w:rPr>
          <w:bCs/>
        </w:rPr>
        <w:t>Judikát Altmark Trans C 280/2000.</w:t>
      </w:r>
    </w:p>
    <w:p w14:paraId="26E125B2" w14:textId="77777777" w:rsidR="00A04D65" w:rsidRPr="00A04D65" w:rsidRDefault="00D77DFF" w:rsidP="00462410">
      <w:pPr>
        <w:jc w:val="both"/>
      </w:pPr>
      <w:r w:rsidRPr="00A04D65">
        <w:t>V rámci NPŽP bude ve vhodných případech podpora poskytována podle Rozhodnutí, Nařízení de minimis, SGEI, nebo v případě splnění všech podmínek v souladu s Judikátem Altmark.</w:t>
      </w:r>
    </w:p>
    <w:p w14:paraId="266FF57B" w14:textId="77777777" w:rsidR="00D37007" w:rsidRPr="00A04D65" w:rsidRDefault="00D77DFF" w:rsidP="00462410">
      <w:pPr>
        <w:pStyle w:val="OM-nadpis5"/>
      </w:pPr>
      <w:r w:rsidRPr="00A04D65">
        <w:lastRenderedPageBreak/>
        <w:t xml:space="preserve">Rozhodnutí Komise ze dne 20. prosince 2011 o použití čl. 106 </w:t>
      </w:r>
      <w:r>
        <w:br/>
      </w:r>
      <w:r w:rsidRPr="00A04D65">
        <w:t>odst.</w:t>
      </w:r>
      <w:r>
        <w:t xml:space="preserve"> </w:t>
      </w:r>
      <w:r w:rsidRPr="00A04D65">
        <w:t>2</w:t>
      </w:r>
      <w:r>
        <w:t xml:space="preserve"> </w:t>
      </w:r>
      <w:r w:rsidRPr="00A04D65">
        <w:t>Smlouvy o fungování Evropské unie na státní podporu ve formě kompenzační platby za závazek veřejné služby udělené určitým podnikům pověřeným poskytováním (SGEI)</w:t>
      </w:r>
    </w:p>
    <w:p w14:paraId="30294507" w14:textId="77777777" w:rsidR="00D37007" w:rsidRPr="00B44ACD" w:rsidRDefault="00D77DFF" w:rsidP="00462410">
      <w:pPr>
        <w:jc w:val="both"/>
        <w:rPr>
          <w:b/>
        </w:rPr>
      </w:pPr>
      <w:r w:rsidRPr="00B44ACD">
        <w:rPr>
          <w:b/>
        </w:rPr>
        <w:t>Podmínky slučitelnosti:</w:t>
      </w:r>
    </w:p>
    <w:p w14:paraId="3A49F31D" w14:textId="77777777" w:rsidR="00D37007" w:rsidRPr="00A04D65" w:rsidRDefault="00D77DFF" w:rsidP="00462410">
      <w:pPr>
        <w:numPr>
          <w:ilvl w:val="0"/>
          <w:numId w:val="13"/>
        </w:numPr>
        <w:ind w:left="788" w:hanging="431"/>
        <w:jc w:val="both"/>
      </w:pPr>
      <w:r w:rsidRPr="00A04D65">
        <w:t xml:space="preserve">poskytovatel služby musí být jedním nebo více právními akty pověřen výkonem závazku veřejné služby, </w:t>
      </w:r>
    </w:p>
    <w:p w14:paraId="420063A5" w14:textId="77777777" w:rsidR="00D37007" w:rsidRPr="00A04D65" w:rsidRDefault="00D77DFF" w:rsidP="00462410">
      <w:pPr>
        <w:numPr>
          <w:ilvl w:val="0"/>
          <w:numId w:val="13"/>
        </w:numPr>
        <w:ind w:left="788" w:hanging="431"/>
        <w:jc w:val="both"/>
      </w:pPr>
      <w:r w:rsidRPr="00A04D65">
        <w:t>právní akt musí specifikovat povahu závazku, území, na němž bude vykonáván, výši a způsob výpočtu kompenzační platby a mechanismus návratu platby</w:t>
      </w:r>
      <w:r>
        <w:t>,</w:t>
      </w:r>
      <w:r w:rsidRPr="00A04D65">
        <w:t xml:space="preserve"> pokud by došlo k překompenzaci, </w:t>
      </w:r>
    </w:p>
    <w:p w14:paraId="23FB8F0E" w14:textId="77777777" w:rsidR="00D37007" w:rsidRPr="00A04D65" w:rsidRDefault="00D77DFF" w:rsidP="00462410">
      <w:pPr>
        <w:numPr>
          <w:ilvl w:val="0"/>
          <w:numId w:val="13"/>
        </w:numPr>
        <w:ind w:left="788" w:hanging="431"/>
        <w:jc w:val="both"/>
      </w:pPr>
      <w:r w:rsidRPr="00A04D65">
        <w:t>výpočet kompenzační platby musí zahrnovat náklady na projekt, který</w:t>
      </w:r>
      <w:r w:rsidR="00514CBB">
        <w:t> </w:t>
      </w:r>
      <w:r w:rsidRPr="00A04D65">
        <w:t>je</w:t>
      </w:r>
      <w:r w:rsidR="007D3F19">
        <w:t> </w:t>
      </w:r>
      <w:r w:rsidRPr="00A04D65">
        <w:t xml:space="preserve">předmětem podpory. </w:t>
      </w:r>
    </w:p>
    <w:p w14:paraId="04ABC4F6" w14:textId="77777777" w:rsidR="00D37007" w:rsidRPr="00A04D65" w:rsidRDefault="00D77DFF" w:rsidP="00462410">
      <w:pPr>
        <w:jc w:val="both"/>
      </w:pPr>
      <w:r w:rsidRPr="00A04D65">
        <w:t>Žadatel, který žádá o podporu v režimu kompenzační platby za závazek veřejné služby, doloží, že je jedním nebo více právními akty pověřen výkonem závazku veřejné služby. Právní akt musí specifikovat povahu závazku, území, na němž bude vykováván, výši</w:t>
      </w:r>
      <w:r w:rsidR="00514CBB">
        <w:t> </w:t>
      </w:r>
      <w:r w:rsidRPr="00A04D65">
        <w:t>a</w:t>
      </w:r>
      <w:r w:rsidR="00CE630D">
        <w:t> </w:t>
      </w:r>
      <w:r w:rsidRPr="00A04D65">
        <w:t>způsob výpočtu kompenzační platby a mechanismus návratu platby, pokud by došlo k</w:t>
      </w:r>
      <w:r w:rsidR="00CE630D">
        <w:t> </w:t>
      </w:r>
      <w:r w:rsidRPr="00A04D65">
        <w:t>překompenzaci.</w:t>
      </w:r>
    </w:p>
    <w:p w14:paraId="4CAFBFAC" w14:textId="77777777" w:rsidR="00D37007" w:rsidRPr="00634F12" w:rsidRDefault="00D77DFF" w:rsidP="00462410">
      <w:pPr>
        <w:jc w:val="both"/>
      </w:pPr>
      <w:r w:rsidRPr="00634F12">
        <w:t>Intenzita podpory může dosáhnout až 100 % ze způsobilých výdajů bez ohledu na velikost podniku.</w:t>
      </w:r>
    </w:p>
    <w:p w14:paraId="0D590D11" w14:textId="77777777" w:rsidR="000B003C" w:rsidRPr="00634F12" w:rsidRDefault="00D77DFF" w:rsidP="00462410">
      <w:pPr>
        <w:pStyle w:val="OM-nadpis5"/>
      </w:pPr>
      <w:bookmarkStart w:id="15" w:name="_Hlk156825059"/>
      <w:bookmarkStart w:id="16" w:name="_Hlk157004364"/>
      <w:r w:rsidRPr="00634F12">
        <w:t>Nařízení Komise (EU) 2023/2832 ze dne 13. prosince 2023 o použití článků 107 a 108 Smlouvy o fungování Evropské unie na podporu de minimis udílenou podnikům poskytujícím služby obecného hospodářského zájmu, které nahrazuje nařízení Komise (EU) č.</w:t>
      </w:r>
      <w:r w:rsidR="00CE630D">
        <w:t> </w:t>
      </w:r>
      <w:r w:rsidRPr="00634F12">
        <w:t xml:space="preserve">360/2012 ze dne 25. dubna 2012 o použití článků 107 a 108 Smlouvy o fungování Evropské unie na podporu de minimis udílenou podnikům poskytujícím služby obecného hospodářského zájmu </w:t>
      </w:r>
      <w:bookmarkEnd w:id="15"/>
    </w:p>
    <w:p w14:paraId="2C570803" w14:textId="77777777" w:rsidR="00A04D65" w:rsidRPr="00634F12" w:rsidRDefault="00D77DFF" w:rsidP="00462410">
      <w:pPr>
        <w:jc w:val="both"/>
      </w:pPr>
      <w:r w:rsidRPr="00634F12">
        <w:t>Podpora</w:t>
      </w:r>
      <w:r w:rsidR="00B955EF" w:rsidRPr="00634F12">
        <w:t>, která je udělena</w:t>
      </w:r>
      <w:r w:rsidRPr="00634F12">
        <w:t xml:space="preserve"> jednomu podniku </w:t>
      </w:r>
      <w:r w:rsidR="006E1FEB" w:rsidRPr="00634F12">
        <w:t>poskytujícímu služby obecného hospodářského zájmu</w:t>
      </w:r>
      <w:r w:rsidR="00B955EF" w:rsidRPr="00634F12">
        <w:t>,</w:t>
      </w:r>
      <w:r w:rsidR="006E1FEB" w:rsidRPr="00634F12">
        <w:t xml:space="preserve"> </w:t>
      </w:r>
      <w:r w:rsidR="001A24F2" w:rsidRPr="00634F12">
        <w:t>nesmí v žádném tříletém období</w:t>
      </w:r>
      <w:r w:rsidRPr="00634F12">
        <w:t xml:space="preserve"> </w:t>
      </w:r>
      <w:r w:rsidR="001A24F2" w:rsidRPr="00634F12">
        <w:t>překročit</w:t>
      </w:r>
      <w:r w:rsidRPr="00634F12">
        <w:t xml:space="preserve"> </w:t>
      </w:r>
      <w:r w:rsidR="007B1984" w:rsidRPr="00634F12">
        <w:t xml:space="preserve">částku </w:t>
      </w:r>
      <w:r w:rsidR="001A24F2" w:rsidRPr="00634F12">
        <w:t>7</w:t>
      </w:r>
      <w:r w:rsidRPr="00634F12">
        <w:t xml:space="preserve">50 000 EUR. </w:t>
      </w:r>
    </w:p>
    <w:p w14:paraId="21DB35D5" w14:textId="77777777" w:rsidR="00A04D65" w:rsidRPr="00634F12" w:rsidRDefault="00D77DFF" w:rsidP="00462410">
      <w:pPr>
        <w:jc w:val="both"/>
        <w:rPr>
          <w:b/>
        </w:rPr>
      </w:pPr>
      <w:r w:rsidRPr="00634F12">
        <w:rPr>
          <w:b/>
        </w:rPr>
        <w:t>Podmínky slučitelnosti:</w:t>
      </w:r>
    </w:p>
    <w:p w14:paraId="71ACDE94" w14:textId="77777777" w:rsidR="00A04D65" w:rsidRPr="00A04D65" w:rsidRDefault="00D77DFF" w:rsidP="00462410">
      <w:pPr>
        <w:numPr>
          <w:ilvl w:val="0"/>
          <w:numId w:val="14"/>
        </w:numPr>
        <w:ind w:left="788" w:hanging="431"/>
        <w:jc w:val="both"/>
      </w:pPr>
      <w:r w:rsidRPr="00A04D65">
        <w:t xml:space="preserve">v případě podpory dle Nařízení Komise č. </w:t>
      </w:r>
      <w:r w:rsidR="00812852" w:rsidRPr="00812852">
        <w:t xml:space="preserve">2023/2832 </w:t>
      </w:r>
      <w:r w:rsidRPr="00A04D65">
        <w:t>nemusí pověřovací akt obsahovat stejné náležitosti jako v případě Rozhodnutí SGEI v plném rozsahu,</w:t>
      </w:r>
    </w:p>
    <w:p w14:paraId="0FE3C86F" w14:textId="77777777" w:rsidR="00A04D65" w:rsidRPr="00A04D65" w:rsidRDefault="00D77DFF" w:rsidP="00462410">
      <w:pPr>
        <w:numPr>
          <w:ilvl w:val="0"/>
          <w:numId w:val="14"/>
        </w:numPr>
        <w:ind w:left="788" w:hanging="431"/>
        <w:jc w:val="both"/>
        <w:rPr>
          <w:bCs/>
        </w:rPr>
      </w:pPr>
      <w:r w:rsidRPr="00A04D65">
        <w:rPr>
          <w:bCs/>
        </w:rPr>
        <w:t>podpora je</w:t>
      </w:r>
      <w:r w:rsidRPr="00A04D65">
        <w:t xml:space="preserve"> dle Nařízení Komise č. </w:t>
      </w:r>
      <w:r w:rsidR="00812852" w:rsidRPr="00812852">
        <w:t>2023/2832</w:t>
      </w:r>
      <w:r w:rsidRPr="00A04D65">
        <w:rPr>
          <w:bCs/>
        </w:rPr>
        <w:t xml:space="preserve"> považována za poskytnutou dnem vydání právního aktu, jímž příjemce získal na podporu právní nárok. Částka podpory v Kč je určena na základě přepočtu kurzem Evropské centrální banky k datu podpisu Rozhodnutí,</w:t>
      </w:r>
    </w:p>
    <w:p w14:paraId="308CF6C2" w14:textId="77777777" w:rsidR="00A04D65" w:rsidRPr="00634F12" w:rsidRDefault="00D77DFF" w:rsidP="00462410">
      <w:pPr>
        <w:numPr>
          <w:ilvl w:val="0"/>
          <w:numId w:val="14"/>
        </w:numPr>
        <w:ind w:left="788" w:hanging="431"/>
        <w:jc w:val="both"/>
        <w:rPr>
          <w:bCs/>
        </w:rPr>
      </w:pPr>
      <w:r w:rsidRPr="00A04D65">
        <w:rPr>
          <w:bCs/>
        </w:rPr>
        <w:t>údaje o podporách de minimis</w:t>
      </w:r>
      <w:r w:rsidRPr="00A04D65">
        <w:t xml:space="preserve"> dle Nařízení Komise č. </w:t>
      </w:r>
      <w:r w:rsidR="00812852" w:rsidRPr="00812852">
        <w:t>2023/2832</w:t>
      </w:r>
      <w:r w:rsidRPr="00A04D65">
        <w:rPr>
          <w:bCs/>
        </w:rPr>
        <w:t xml:space="preserve"> jsou zanášeny do</w:t>
      </w:r>
      <w:r w:rsidR="007D3F19">
        <w:rPr>
          <w:bCs/>
        </w:rPr>
        <w:t> </w:t>
      </w:r>
      <w:r w:rsidRPr="00634F12">
        <w:rPr>
          <w:bCs/>
        </w:rPr>
        <w:t>registru de minimis v zákonné lhůtě 5 pracovních dnů od jejich poskytnutí. Zápis provádí poskytovatel dotace,</w:t>
      </w:r>
    </w:p>
    <w:p w14:paraId="2AE33F4E" w14:textId="77777777" w:rsidR="00A04D65" w:rsidRPr="00634F12" w:rsidRDefault="00D77DFF" w:rsidP="00462410">
      <w:pPr>
        <w:numPr>
          <w:ilvl w:val="0"/>
          <w:numId w:val="14"/>
        </w:numPr>
        <w:ind w:left="788" w:hanging="431"/>
        <w:jc w:val="both"/>
        <w:rPr>
          <w:bCs/>
        </w:rPr>
      </w:pPr>
      <w:r w:rsidRPr="00634F12">
        <w:t>kompenzační platba poskytnutá dle tohoto Nařízení nesmí být kombinována s</w:t>
      </w:r>
      <w:r w:rsidR="00CE630D">
        <w:t> </w:t>
      </w:r>
      <w:r w:rsidRPr="00634F12">
        <w:t>kompenzační platbou dle Rozhodnutí SGEI.</w:t>
      </w:r>
    </w:p>
    <w:p w14:paraId="6B004A1B" w14:textId="77777777" w:rsidR="00A04D65" w:rsidRPr="00634F12" w:rsidRDefault="00D77DFF" w:rsidP="00462410">
      <w:pPr>
        <w:jc w:val="both"/>
      </w:pPr>
      <w:r w:rsidRPr="00634F12">
        <w:t>Žadatel, který žádá o poskytnutí podpory de minimis doloží prohlášení o podporách de</w:t>
      </w:r>
      <w:r w:rsidR="007D3F19">
        <w:t> </w:t>
      </w:r>
      <w:r w:rsidRPr="00634F12">
        <w:t xml:space="preserve">minimis čerpaných podnikem (skupinou podniků). </w:t>
      </w:r>
    </w:p>
    <w:p w14:paraId="0527E58C" w14:textId="77777777" w:rsidR="00A04D65" w:rsidRPr="00634F12" w:rsidRDefault="00D77DFF" w:rsidP="00462410">
      <w:pPr>
        <w:jc w:val="both"/>
      </w:pPr>
      <w:r w:rsidRPr="00634F12">
        <w:lastRenderedPageBreak/>
        <w:t xml:space="preserve">Žadatel, který žádá o podporu podle Nařízení </w:t>
      </w:r>
      <w:r w:rsidR="00812852" w:rsidRPr="00634F12">
        <w:t>2023/2832</w:t>
      </w:r>
      <w:r w:rsidRPr="00634F12">
        <w:t>, doloží</w:t>
      </w:r>
      <w:r w:rsidR="0058248E" w:rsidRPr="00634F12">
        <w:t xml:space="preserve"> </w:t>
      </w:r>
      <w:r w:rsidRPr="00634F12">
        <w:t>existenci závazku veřejné služby. Dokument musí specifikovat podnik, povahu závazku, a území, na němž bude vykováván.</w:t>
      </w:r>
    </w:p>
    <w:bookmarkEnd w:id="16"/>
    <w:p w14:paraId="669DE986" w14:textId="77777777" w:rsidR="00A04D65" w:rsidRPr="00634F12" w:rsidRDefault="00D77DFF" w:rsidP="00462410">
      <w:pPr>
        <w:pStyle w:val="OM-nadpis5"/>
      </w:pPr>
      <w:r w:rsidRPr="00634F12">
        <w:t>Judikát Altmark Trans</w:t>
      </w:r>
    </w:p>
    <w:p w14:paraId="5314A653" w14:textId="77777777" w:rsidR="00A04D65" w:rsidRPr="00B44ACD" w:rsidRDefault="00D77DFF" w:rsidP="00462410">
      <w:pPr>
        <w:jc w:val="both"/>
        <w:rPr>
          <w:b/>
        </w:rPr>
      </w:pPr>
      <w:r w:rsidRPr="00B44ACD">
        <w:rPr>
          <w:b/>
        </w:rPr>
        <w:t>Podmínky slučitelnosti:</w:t>
      </w:r>
    </w:p>
    <w:p w14:paraId="5A3DA687" w14:textId="77777777" w:rsidR="00A04D65" w:rsidRPr="00A04D65" w:rsidRDefault="00D77DFF" w:rsidP="00462410">
      <w:pPr>
        <w:numPr>
          <w:ilvl w:val="0"/>
          <w:numId w:val="11"/>
        </w:numPr>
        <w:ind w:left="714" w:hanging="357"/>
        <w:jc w:val="both"/>
      </w:pPr>
      <w:r w:rsidRPr="00A04D65">
        <w:t>subjekt, který je příjemcem kompenzační platby, musí být výkonem SGEI pověřen, a to jasně vymezeným způsobem,</w:t>
      </w:r>
    </w:p>
    <w:p w14:paraId="0A2A63DC" w14:textId="77777777" w:rsidR="00A04D65" w:rsidRPr="00A04D65" w:rsidRDefault="00D77DFF" w:rsidP="00462410">
      <w:pPr>
        <w:numPr>
          <w:ilvl w:val="0"/>
          <w:numId w:val="11"/>
        </w:numPr>
        <w:ind w:left="714" w:hanging="357"/>
        <w:jc w:val="both"/>
      </w:pPr>
      <w:r w:rsidRPr="00A04D65">
        <w:t>ukazatele pro kalkulaci výše kompenzační platby musí být stanoveny předem a</w:t>
      </w:r>
      <w:r w:rsidR="00CE630D">
        <w:t> </w:t>
      </w:r>
      <w:r w:rsidRPr="00A04D65">
        <w:t>objektivním způsobem,</w:t>
      </w:r>
    </w:p>
    <w:p w14:paraId="1745A818" w14:textId="77777777" w:rsidR="00C135B3" w:rsidRDefault="00D77DFF" w:rsidP="00462410">
      <w:pPr>
        <w:numPr>
          <w:ilvl w:val="0"/>
          <w:numId w:val="11"/>
        </w:numPr>
        <w:ind w:left="714" w:hanging="357"/>
        <w:jc w:val="both"/>
      </w:pPr>
      <w:r w:rsidRPr="00A04D65">
        <w:t>výše kompenzační platby nesmí překročit náklady vynaložené subjektem při plnění závazku veřejné služby po odečtení příslušných příjmů z tohoto závazku a přičtení přiměřeného zisku (nástroje proti překompenzaci),</w:t>
      </w:r>
    </w:p>
    <w:p w14:paraId="664E6AE5" w14:textId="77777777" w:rsidR="00A04D65" w:rsidRDefault="00D77DFF" w:rsidP="00462410">
      <w:pPr>
        <w:numPr>
          <w:ilvl w:val="0"/>
          <w:numId w:val="11"/>
        </w:numPr>
        <w:ind w:left="714" w:hanging="357"/>
        <w:jc w:val="both"/>
      </w:pPr>
      <w:r>
        <w:t>s</w:t>
      </w:r>
      <w:r w:rsidRPr="00A04D65">
        <w:t>ubjekt pověřený výkonem veřejné služby byl vybrán v rámci řízení o zadání veřejné zakázky umožňující vybrat zájemce schopného poskytovat tyto služby za</w:t>
      </w:r>
      <w:r w:rsidR="007D3F19">
        <w:t> </w:t>
      </w:r>
      <w:r w:rsidRPr="00A04D65">
        <w:t>nejmenších nákladů pro územně samosprávný nebo na základě analýzy nákladů, jež by na výkon veřejné služby vynaložil průměrný, řádně řízený podnik, jež</w:t>
      </w:r>
      <w:r w:rsidR="00514CBB">
        <w:t> </w:t>
      </w:r>
      <w:r w:rsidRPr="00A04D65">
        <w:t>disponuje odpovídajícími technickými prostředky k plnění výkonu dané veřejné služby.</w:t>
      </w:r>
    </w:p>
    <w:sectPr w:rsidR="00A04D65" w:rsidSect="00005C02">
      <w:headerReference w:type="default"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B4FEF" w14:textId="77777777" w:rsidR="00D77DFF" w:rsidRDefault="00D77DFF">
      <w:pPr>
        <w:spacing w:after="0" w:line="240" w:lineRule="auto"/>
      </w:pPr>
      <w:r>
        <w:separator/>
      </w:r>
    </w:p>
  </w:endnote>
  <w:endnote w:type="continuationSeparator" w:id="0">
    <w:p w14:paraId="05ADE49E" w14:textId="77777777" w:rsidR="00D77DFF" w:rsidRDefault="00D77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2201675"/>
      <w:docPartObj>
        <w:docPartGallery w:val="Page Numbers (Bottom of Page)"/>
        <w:docPartUnique/>
      </w:docPartObj>
    </w:sdtPr>
    <w:sdtEndPr/>
    <w:sdtContent>
      <w:p w14:paraId="54C68607" w14:textId="77777777" w:rsidR="007A5045" w:rsidRDefault="00D77DFF">
        <w:pPr>
          <w:pStyle w:val="Zpat"/>
          <w:jc w:val="center"/>
        </w:pPr>
        <w:r>
          <w:fldChar w:fldCharType="begin"/>
        </w:r>
        <w:r>
          <w:instrText>PAGE   \* MERGEFORMAT</w:instrText>
        </w:r>
        <w:r>
          <w:fldChar w:fldCharType="separate"/>
        </w:r>
        <w:r>
          <w:t>14</w:t>
        </w:r>
        <w:r>
          <w:fldChar w:fldCharType="end"/>
        </w:r>
      </w:p>
    </w:sdtContent>
  </w:sdt>
  <w:p w14:paraId="5F1091AF" w14:textId="77777777" w:rsidR="007A5045" w:rsidRDefault="007A50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2E701" w14:textId="77777777" w:rsidR="00A6463D" w:rsidRDefault="00D77DFF" w:rsidP="00F77625">
      <w:pPr>
        <w:spacing w:after="0" w:line="240" w:lineRule="auto"/>
      </w:pPr>
      <w:r>
        <w:separator/>
      </w:r>
    </w:p>
  </w:footnote>
  <w:footnote w:type="continuationSeparator" w:id="0">
    <w:p w14:paraId="51C61253" w14:textId="77777777" w:rsidR="00A6463D" w:rsidRDefault="00D77DFF" w:rsidP="00F77625">
      <w:pPr>
        <w:spacing w:after="0" w:line="240" w:lineRule="auto"/>
      </w:pPr>
      <w:r>
        <w:continuationSeparator/>
      </w:r>
    </w:p>
  </w:footnote>
  <w:footnote w:id="1">
    <w:p w14:paraId="1AE7E31A" w14:textId="77777777" w:rsidR="00691932" w:rsidRDefault="00D77DFF" w:rsidP="00701902">
      <w:pPr>
        <w:pStyle w:val="Textpoznpodarou"/>
      </w:pPr>
      <w:r>
        <w:rPr>
          <w:rStyle w:val="Znakapoznpodarou"/>
        </w:rPr>
        <w:footnoteRef/>
      </w:r>
      <w:r>
        <w:t xml:space="preserve"> </w:t>
      </w:r>
    </w:p>
    <w:p w14:paraId="4D002041" w14:textId="77777777" w:rsidR="00691932" w:rsidRPr="00A81E6B" w:rsidRDefault="00D77DFF" w:rsidP="00445202">
      <w:pPr>
        <w:pStyle w:val="Textpoznpodarou"/>
        <w:jc w:val="both"/>
        <w:rPr>
          <w:sz w:val="16"/>
          <w:szCs w:val="16"/>
        </w:rPr>
      </w:pPr>
      <w:r w:rsidRPr="00A81E6B">
        <w:rPr>
          <w:sz w:val="16"/>
          <w:szCs w:val="16"/>
        </w:rPr>
        <w:t>a) podporu v odvětví oceli, v odvětví hnědého uhlí a v uhelném průmyslu;</w:t>
      </w:r>
    </w:p>
    <w:p w14:paraId="18E24637" w14:textId="77777777" w:rsidR="00691932" w:rsidRPr="00A81E6B" w:rsidRDefault="00D77DFF" w:rsidP="00445202">
      <w:pPr>
        <w:pStyle w:val="Textpoznpodarou"/>
        <w:jc w:val="both"/>
        <w:rPr>
          <w:sz w:val="16"/>
          <w:szCs w:val="16"/>
        </w:rPr>
      </w:pPr>
      <w:r w:rsidRPr="00A81E6B">
        <w:rPr>
          <w:sz w:val="16"/>
          <w:szCs w:val="16"/>
        </w:rPr>
        <w:t>b) podporu v odvětví dopravy, jakož i v odvětví související infrastruktury, podporu na výrobu, ukládání, přenos a distribuci energie a na energetickou infrastrukturu, s výjimkou regionální investiční podpory v nejvzdálenějších regionech a režimů regionální provozní podpory, a podporu v odvětví širokopásmového připojení, s výjimkou režimů regionální provozní podpory;</w:t>
      </w:r>
    </w:p>
    <w:p w14:paraId="3BAC7556" w14:textId="77777777" w:rsidR="00691932" w:rsidRPr="00A81E6B" w:rsidRDefault="00D77DFF" w:rsidP="00445202">
      <w:pPr>
        <w:pStyle w:val="Textpoznpodarou"/>
        <w:jc w:val="both"/>
        <w:rPr>
          <w:sz w:val="16"/>
          <w:szCs w:val="16"/>
        </w:rPr>
      </w:pPr>
      <w:r w:rsidRPr="00A81E6B">
        <w:rPr>
          <w:sz w:val="16"/>
          <w:szCs w:val="16"/>
        </w:rPr>
        <w:t>c) regionální podporu ve formě režimů, které jsou zaměřeny na omezený počet zvláštních odvětví hospodářské činnosti; za režimy zaměřené na zvláštní odvětví hospodářské činnosti se nepovažují režimy zaměřené na cestovní ruch nebo zpracování a uvádění zemědělských produktů na trh;</w:t>
      </w:r>
    </w:p>
  </w:footnote>
  <w:footnote w:id="2">
    <w:p w14:paraId="621E3769" w14:textId="77777777" w:rsidR="00222D3D" w:rsidRPr="00222D3D" w:rsidRDefault="00D77DFF" w:rsidP="00222D3D">
      <w:pPr>
        <w:pStyle w:val="Textpoznpodarou"/>
        <w:rPr>
          <w:sz w:val="16"/>
        </w:rPr>
      </w:pPr>
      <w:r w:rsidRPr="00222D3D">
        <w:rPr>
          <w:rStyle w:val="Znakapoznpodarou"/>
          <w:sz w:val="16"/>
        </w:rPr>
        <w:footnoteRef/>
      </w:r>
      <w:r w:rsidRPr="00222D3D">
        <w:rPr>
          <w:sz w:val="16"/>
        </w:rPr>
        <w:t xml:space="preserve"> NUTS II – CZ04 Severozápad, CZ05 Severovýchod, CZ07 Střední Morava, CZ08 Moravskoslezsko</w:t>
      </w:r>
    </w:p>
  </w:footnote>
  <w:footnote w:id="3">
    <w:p w14:paraId="3C40A8D0" w14:textId="77777777" w:rsidR="00222D3D" w:rsidRDefault="00D77DFF" w:rsidP="00222D3D">
      <w:pPr>
        <w:pStyle w:val="Textpoznpodarou"/>
      </w:pPr>
      <w:r w:rsidRPr="00222D3D">
        <w:rPr>
          <w:rStyle w:val="Znakapoznpodarou"/>
          <w:sz w:val="16"/>
        </w:rPr>
        <w:footnoteRef/>
      </w:r>
      <w:r w:rsidRPr="00222D3D">
        <w:rPr>
          <w:sz w:val="16"/>
        </w:rPr>
        <w:t xml:space="preserve"> NUTS II – CZ02 Střední Čechy; CZ03 Jihozápad, CZ06 Jihovýchod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5A234" w14:textId="2EEE3AED" w:rsidR="00691932" w:rsidRDefault="00D77DFF" w:rsidP="009511BA">
    <w:pPr>
      <w:pStyle w:val="Zhlav"/>
      <w:tabs>
        <w:tab w:val="clear" w:pos="4536"/>
        <w:tab w:val="clear" w:pos="9072"/>
        <w:tab w:val="left" w:pos="6670"/>
      </w:tabs>
      <w:jc w:val="right"/>
    </w:pPr>
    <w:r w:rsidRPr="00674B33">
      <w:rPr>
        <w:rFonts w:ascii="Arial" w:eastAsia="Calibri" w:hAnsi="Arial" w:cs="Arial"/>
        <w:noProof/>
        <w:lang w:eastAsia="cs-CZ"/>
      </w:rPr>
      <w:drawing>
        <wp:anchor distT="0" distB="0" distL="114300" distR="114300" simplePos="0" relativeHeight="251658240" behindDoc="0" locked="0" layoutInCell="1" allowOverlap="1" wp14:anchorId="13776A38" wp14:editId="6732976B">
          <wp:simplePos x="0" y="0"/>
          <wp:positionH relativeFrom="column">
            <wp:posOffset>-79987</wp:posOffset>
          </wp:positionH>
          <wp:positionV relativeFrom="paragraph">
            <wp:posOffset>-207842</wp:posOffset>
          </wp:positionV>
          <wp:extent cx="1828800" cy="677091"/>
          <wp:effectExtent l="0" t="0" r="0" b="8890"/>
          <wp:wrapNone/>
          <wp:docPr id="2" name="Obrázek 2" descr="C:\Users\user\Desktop\MZP_logo_RG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58215" name="Picture 1" descr="C:\Users\user\Desktop\MZP_logo_RGB_v2.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79900" cy="69601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Příloha </w:t>
    </w:r>
    <w:r w:rsidR="00634F12">
      <w:t>k č. j.:</w:t>
    </w:r>
    <w:r w:rsidR="001E2668">
      <w:t xml:space="preserve"> MŽP/202</w:t>
    </w:r>
    <w:r w:rsidR="0045758D">
      <w:t>5</w:t>
    </w:r>
    <w:r w:rsidR="001E2668">
      <w:t>/270/</w:t>
    </w:r>
    <w:r w:rsidR="001533F1">
      <w:t>852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B7966" w14:textId="77777777" w:rsidR="00691932" w:rsidRPr="00F77625" w:rsidRDefault="00691932" w:rsidP="00F776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CEE"/>
    <w:multiLevelType w:val="hybridMultilevel"/>
    <w:tmpl w:val="F7D08B7C"/>
    <w:lvl w:ilvl="0" w:tplc="776CC776">
      <w:start w:val="1"/>
      <w:numFmt w:val="bullet"/>
      <w:lvlText w:val=""/>
      <w:lvlJc w:val="left"/>
      <w:pPr>
        <w:ind w:left="720" w:hanging="360"/>
      </w:pPr>
      <w:rPr>
        <w:rFonts w:ascii="Symbol" w:hAnsi="Symbol" w:hint="default"/>
      </w:rPr>
    </w:lvl>
    <w:lvl w:ilvl="1" w:tplc="71CE894A" w:tentative="1">
      <w:start w:val="1"/>
      <w:numFmt w:val="bullet"/>
      <w:lvlText w:val="o"/>
      <w:lvlJc w:val="left"/>
      <w:pPr>
        <w:ind w:left="1440" w:hanging="360"/>
      </w:pPr>
      <w:rPr>
        <w:rFonts w:ascii="Courier New" w:hAnsi="Courier New" w:cs="Courier New" w:hint="default"/>
      </w:rPr>
    </w:lvl>
    <w:lvl w:ilvl="2" w:tplc="5AE43BA4" w:tentative="1">
      <w:start w:val="1"/>
      <w:numFmt w:val="bullet"/>
      <w:lvlText w:val=""/>
      <w:lvlJc w:val="left"/>
      <w:pPr>
        <w:ind w:left="2160" w:hanging="360"/>
      </w:pPr>
      <w:rPr>
        <w:rFonts w:ascii="Wingdings" w:hAnsi="Wingdings" w:hint="default"/>
      </w:rPr>
    </w:lvl>
    <w:lvl w:ilvl="3" w:tplc="8BD0339A" w:tentative="1">
      <w:start w:val="1"/>
      <w:numFmt w:val="bullet"/>
      <w:lvlText w:val=""/>
      <w:lvlJc w:val="left"/>
      <w:pPr>
        <w:ind w:left="2880" w:hanging="360"/>
      </w:pPr>
      <w:rPr>
        <w:rFonts w:ascii="Symbol" w:hAnsi="Symbol" w:hint="default"/>
      </w:rPr>
    </w:lvl>
    <w:lvl w:ilvl="4" w:tplc="FBB04A50" w:tentative="1">
      <w:start w:val="1"/>
      <w:numFmt w:val="bullet"/>
      <w:lvlText w:val="o"/>
      <w:lvlJc w:val="left"/>
      <w:pPr>
        <w:ind w:left="3600" w:hanging="360"/>
      </w:pPr>
      <w:rPr>
        <w:rFonts w:ascii="Courier New" w:hAnsi="Courier New" w:cs="Courier New" w:hint="default"/>
      </w:rPr>
    </w:lvl>
    <w:lvl w:ilvl="5" w:tplc="6270EEC2" w:tentative="1">
      <w:start w:val="1"/>
      <w:numFmt w:val="bullet"/>
      <w:lvlText w:val=""/>
      <w:lvlJc w:val="left"/>
      <w:pPr>
        <w:ind w:left="4320" w:hanging="360"/>
      </w:pPr>
      <w:rPr>
        <w:rFonts w:ascii="Wingdings" w:hAnsi="Wingdings" w:hint="default"/>
      </w:rPr>
    </w:lvl>
    <w:lvl w:ilvl="6" w:tplc="26DAD8B2" w:tentative="1">
      <w:start w:val="1"/>
      <w:numFmt w:val="bullet"/>
      <w:lvlText w:val=""/>
      <w:lvlJc w:val="left"/>
      <w:pPr>
        <w:ind w:left="5040" w:hanging="360"/>
      </w:pPr>
      <w:rPr>
        <w:rFonts w:ascii="Symbol" w:hAnsi="Symbol" w:hint="default"/>
      </w:rPr>
    </w:lvl>
    <w:lvl w:ilvl="7" w:tplc="AD066588" w:tentative="1">
      <w:start w:val="1"/>
      <w:numFmt w:val="bullet"/>
      <w:lvlText w:val="o"/>
      <w:lvlJc w:val="left"/>
      <w:pPr>
        <w:ind w:left="5760" w:hanging="360"/>
      </w:pPr>
      <w:rPr>
        <w:rFonts w:ascii="Courier New" w:hAnsi="Courier New" w:cs="Courier New" w:hint="default"/>
      </w:rPr>
    </w:lvl>
    <w:lvl w:ilvl="8" w:tplc="6BA40668" w:tentative="1">
      <w:start w:val="1"/>
      <w:numFmt w:val="bullet"/>
      <w:lvlText w:val=""/>
      <w:lvlJc w:val="left"/>
      <w:pPr>
        <w:ind w:left="6480" w:hanging="360"/>
      </w:pPr>
      <w:rPr>
        <w:rFonts w:ascii="Wingdings" w:hAnsi="Wingdings" w:hint="default"/>
      </w:rPr>
    </w:lvl>
  </w:abstractNum>
  <w:abstractNum w:abstractNumId="1" w15:restartNumberingAfterBreak="0">
    <w:nsid w:val="00E5087F"/>
    <w:multiLevelType w:val="hybridMultilevel"/>
    <w:tmpl w:val="36F0187A"/>
    <w:lvl w:ilvl="0" w:tplc="17EAF1F4">
      <w:start w:val="1"/>
      <w:numFmt w:val="bullet"/>
      <w:lvlText w:val=""/>
      <w:lvlJc w:val="left"/>
      <w:pPr>
        <w:ind w:left="720" w:hanging="360"/>
      </w:pPr>
      <w:rPr>
        <w:rFonts w:ascii="Symbol" w:hAnsi="Symbol" w:hint="default"/>
      </w:rPr>
    </w:lvl>
    <w:lvl w:ilvl="1" w:tplc="D6AE7A02" w:tentative="1">
      <w:start w:val="1"/>
      <w:numFmt w:val="bullet"/>
      <w:lvlText w:val="o"/>
      <w:lvlJc w:val="left"/>
      <w:pPr>
        <w:ind w:left="1440" w:hanging="360"/>
      </w:pPr>
      <w:rPr>
        <w:rFonts w:ascii="Courier New" w:hAnsi="Courier New" w:cs="Courier New" w:hint="default"/>
      </w:rPr>
    </w:lvl>
    <w:lvl w:ilvl="2" w:tplc="461E5ACC" w:tentative="1">
      <w:start w:val="1"/>
      <w:numFmt w:val="bullet"/>
      <w:lvlText w:val=""/>
      <w:lvlJc w:val="left"/>
      <w:pPr>
        <w:ind w:left="2160" w:hanging="360"/>
      </w:pPr>
      <w:rPr>
        <w:rFonts w:ascii="Wingdings" w:hAnsi="Wingdings" w:hint="default"/>
      </w:rPr>
    </w:lvl>
    <w:lvl w:ilvl="3" w:tplc="D63A20A2" w:tentative="1">
      <w:start w:val="1"/>
      <w:numFmt w:val="bullet"/>
      <w:lvlText w:val=""/>
      <w:lvlJc w:val="left"/>
      <w:pPr>
        <w:ind w:left="2880" w:hanging="360"/>
      </w:pPr>
      <w:rPr>
        <w:rFonts w:ascii="Symbol" w:hAnsi="Symbol" w:hint="default"/>
      </w:rPr>
    </w:lvl>
    <w:lvl w:ilvl="4" w:tplc="34F06166" w:tentative="1">
      <w:start w:val="1"/>
      <w:numFmt w:val="bullet"/>
      <w:lvlText w:val="o"/>
      <w:lvlJc w:val="left"/>
      <w:pPr>
        <w:ind w:left="3600" w:hanging="360"/>
      </w:pPr>
      <w:rPr>
        <w:rFonts w:ascii="Courier New" w:hAnsi="Courier New" w:cs="Courier New" w:hint="default"/>
      </w:rPr>
    </w:lvl>
    <w:lvl w:ilvl="5" w:tplc="0944B718" w:tentative="1">
      <w:start w:val="1"/>
      <w:numFmt w:val="bullet"/>
      <w:lvlText w:val=""/>
      <w:lvlJc w:val="left"/>
      <w:pPr>
        <w:ind w:left="4320" w:hanging="360"/>
      </w:pPr>
      <w:rPr>
        <w:rFonts w:ascii="Wingdings" w:hAnsi="Wingdings" w:hint="default"/>
      </w:rPr>
    </w:lvl>
    <w:lvl w:ilvl="6" w:tplc="BF9428B8" w:tentative="1">
      <w:start w:val="1"/>
      <w:numFmt w:val="bullet"/>
      <w:lvlText w:val=""/>
      <w:lvlJc w:val="left"/>
      <w:pPr>
        <w:ind w:left="5040" w:hanging="360"/>
      </w:pPr>
      <w:rPr>
        <w:rFonts w:ascii="Symbol" w:hAnsi="Symbol" w:hint="default"/>
      </w:rPr>
    </w:lvl>
    <w:lvl w:ilvl="7" w:tplc="9C72403E" w:tentative="1">
      <w:start w:val="1"/>
      <w:numFmt w:val="bullet"/>
      <w:lvlText w:val="o"/>
      <w:lvlJc w:val="left"/>
      <w:pPr>
        <w:ind w:left="5760" w:hanging="360"/>
      </w:pPr>
      <w:rPr>
        <w:rFonts w:ascii="Courier New" w:hAnsi="Courier New" w:cs="Courier New" w:hint="default"/>
      </w:rPr>
    </w:lvl>
    <w:lvl w:ilvl="8" w:tplc="1D4C7812" w:tentative="1">
      <w:start w:val="1"/>
      <w:numFmt w:val="bullet"/>
      <w:lvlText w:val=""/>
      <w:lvlJc w:val="left"/>
      <w:pPr>
        <w:ind w:left="6480" w:hanging="360"/>
      </w:pPr>
      <w:rPr>
        <w:rFonts w:ascii="Wingdings" w:hAnsi="Wingdings" w:hint="default"/>
      </w:rPr>
    </w:lvl>
  </w:abstractNum>
  <w:abstractNum w:abstractNumId="2" w15:restartNumberingAfterBreak="0">
    <w:nsid w:val="0443346C"/>
    <w:multiLevelType w:val="hybridMultilevel"/>
    <w:tmpl w:val="469AECE2"/>
    <w:lvl w:ilvl="0" w:tplc="F6C0EC64">
      <w:start w:val="1"/>
      <w:numFmt w:val="lowerLetter"/>
      <w:lvlText w:val="%1)"/>
      <w:lvlJc w:val="left"/>
      <w:pPr>
        <w:ind w:left="720" w:hanging="360"/>
      </w:pPr>
      <w:rPr>
        <w:rFonts w:hint="default"/>
      </w:rPr>
    </w:lvl>
    <w:lvl w:ilvl="1" w:tplc="40E87E92" w:tentative="1">
      <w:start w:val="1"/>
      <w:numFmt w:val="lowerLetter"/>
      <w:lvlText w:val="%2."/>
      <w:lvlJc w:val="left"/>
      <w:pPr>
        <w:ind w:left="1440" w:hanging="360"/>
      </w:pPr>
    </w:lvl>
    <w:lvl w:ilvl="2" w:tplc="3CC6F8C6" w:tentative="1">
      <w:start w:val="1"/>
      <w:numFmt w:val="lowerRoman"/>
      <w:lvlText w:val="%3."/>
      <w:lvlJc w:val="right"/>
      <w:pPr>
        <w:ind w:left="2160" w:hanging="180"/>
      </w:pPr>
    </w:lvl>
    <w:lvl w:ilvl="3" w:tplc="7870DD84" w:tentative="1">
      <w:start w:val="1"/>
      <w:numFmt w:val="decimal"/>
      <w:lvlText w:val="%4."/>
      <w:lvlJc w:val="left"/>
      <w:pPr>
        <w:ind w:left="2880" w:hanging="360"/>
      </w:pPr>
    </w:lvl>
    <w:lvl w:ilvl="4" w:tplc="D090D3EA" w:tentative="1">
      <w:start w:val="1"/>
      <w:numFmt w:val="lowerLetter"/>
      <w:lvlText w:val="%5."/>
      <w:lvlJc w:val="left"/>
      <w:pPr>
        <w:ind w:left="3600" w:hanging="360"/>
      </w:pPr>
    </w:lvl>
    <w:lvl w:ilvl="5" w:tplc="754092E6" w:tentative="1">
      <w:start w:val="1"/>
      <w:numFmt w:val="lowerRoman"/>
      <w:lvlText w:val="%6."/>
      <w:lvlJc w:val="right"/>
      <w:pPr>
        <w:ind w:left="4320" w:hanging="180"/>
      </w:pPr>
    </w:lvl>
    <w:lvl w:ilvl="6" w:tplc="2544259C" w:tentative="1">
      <w:start w:val="1"/>
      <w:numFmt w:val="decimal"/>
      <w:lvlText w:val="%7."/>
      <w:lvlJc w:val="left"/>
      <w:pPr>
        <w:ind w:left="5040" w:hanging="360"/>
      </w:pPr>
    </w:lvl>
    <w:lvl w:ilvl="7" w:tplc="2FEAA88C" w:tentative="1">
      <w:start w:val="1"/>
      <w:numFmt w:val="lowerLetter"/>
      <w:lvlText w:val="%8."/>
      <w:lvlJc w:val="left"/>
      <w:pPr>
        <w:ind w:left="5760" w:hanging="360"/>
      </w:pPr>
    </w:lvl>
    <w:lvl w:ilvl="8" w:tplc="770EAE78" w:tentative="1">
      <w:start w:val="1"/>
      <w:numFmt w:val="lowerRoman"/>
      <w:lvlText w:val="%9."/>
      <w:lvlJc w:val="right"/>
      <w:pPr>
        <w:ind w:left="6480" w:hanging="180"/>
      </w:pPr>
    </w:lvl>
  </w:abstractNum>
  <w:abstractNum w:abstractNumId="3" w15:restartNumberingAfterBreak="0">
    <w:nsid w:val="074460C6"/>
    <w:multiLevelType w:val="multilevel"/>
    <w:tmpl w:val="2904D358"/>
    <w:lvl w:ilvl="0">
      <w:start w:val="1"/>
      <w:numFmt w:val="bullet"/>
      <w:lvlText w:val=""/>
      <w:lvlJc w:val="left"/>
      <w:pPr>
        <w:ind w:left="432" w:hanging="432"/>
      </w:pPr>
      <w:rPr>
        <w:rFonts w:ascii="Symbol" w:hAnsi="Symbol" w:hint="default"/>
      </w:rPr>
    </w:lvl>
    <w:lvl w:ilvl="1">
      <w:start w:val="1"/>
      <w:numFmt w:val="decimal"/>
      <w:lvlText w:val="%1.%2"/>
      <w:lvlJc w:val="left"/>
      <w:pPr>
        <w:ind w:left="737" w:hanging="737"/>
      </w:pPr>
      <w:rPr>
        <w:rFonts w:hint="default"/>
      </w:rPr>
    </w:lvl>
    <w:lvl w:ilvl="2">
      <w:start w:val="1"/>
      <w:numFmt w:val="decimal"/>
      <w:lvlText w:val="%1.%2.%3"/>
      <w:lvlJc w:val="left"/>
      <w:pPr>
        <w:ind w:left="862" w:hanging="720"/>
      </w:pPr>
      <w:rPr>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92E5A04"/>
    <w:multiLevelType w:val="hybridMultilevel"/>
    <w:tmpl w:val="41C80C9E"/>
    <w:lvl w:ilvl="0" w:tplc="B49EA160">
      <w:start w:val="1"/>
      <w:numFmt w:val="upperLetter"/>
      <w:pStyle w:val="plohaVP-nadpis2"/>
      <w:lvlText w:val="%1.1"/>
      <w:lvlJc w:val="left"/>
      <w:pPr>
        <w:ind w:left="1068" w:hanging="360"/>
      </w:pPr>
      <w:rPr>
        <w:rFonts w:hint="default"/>
      </w:rPr>
    </w:lvl>
    <w:lvl w:ilvl="1" w:tplc="8DBC0D96" w:tentative="1">
      <w:start w:val="1"/>
      <w:numFmt w:val="lowerLetter"/>
      <w:lvlText w:val="%2."/>
      <w:lvlJc w:val="left"/>
      <w:pPr>
        <w:ind w:left="1788" w:hanging="360"/>
      </w:pPr>
    </w:lvl>
    <w:lvl w:ilvl="2" w:tplc="9A74CCB0" w:tentative="1">
      <w:start w:val="1"/>
      <w:numFmt w:val="lowerRoman"/>
      <w:lvlText w:val="%3."/>
      <w:lvlJc w:val="right"/>
      <w:pPr>
        <w:ind w:left="2508" w:hanging="180"/>
      </w:pPr>
    </w:lvl>
    <w:lvl w:ilvl="3" w:tplc="F4A64284" w:tentative="1">
      <w:start w:val="1"/>
      <w:numFmt w:val="decimal"/>
      <w:lvlText w:val="%4."/>
      <w:lvlJc w:val="left"/>
      <w:pPr>
        <w:ind w:left="3228" w:hanging="360"/>
      </w:pPr>
    </w:lvl>
    <w:lvl w:ilvl="4" w:tplc="2550BB88" w:tentative="1">
      <w:start w:val="1"/>
      <w:numFmt w:val="lowerLetter"/>
      <w:lvlText w:val="%5."/>
      <w:lvlJc w:val="left"/>
      <w:pPr>
        <w:ind w:left="3948" w:hanging="360"/>
      </w:pPr>
    </w:lvl>
    <w:lvl w:ilvl="5" w:tplc="CB425E80" w:tentative="1">
      <w:start w:val="1"/>
      <w:numFmt w:val="lowerRoman"/>
      <w:lvlText w:val="%6."/>
      <w:lvlJc w:val="right"/>
      <w:pPr>
        <w:ind w:left="4668" w:hanging="180"/>
      </w:pPr>
    </w:lvl>
    <w:lvl w:ilvl="6" w:tplc="DF30BA16" w:tentative="1">
      <w:start w:val="1"/>
      <w:numFmt w:val="decimal"/>
      <w:lvlText w:val="%7."/>
      <w:lvlJc w:val="left"/>
      <w:pPr>
        <w:ind w:left="5388" w:hanging="360"/>
      </w:pPr>
    </w:lvl>
    <w:lvl w:ilvl="7" w:tplc="85069C5C" w:tentative="1">
      <w:start w:val="1"/>
      <w:numFmt w:val="lowerLetter"/>
      <w:lvlText w:val="%8."/>
      <w:lvlJc w:val="left"/>
      <w:pPr>
        <w:ind w:left="6108" w:hanging="360"/>
      </w:pPr>
    </w:lvl>
    <w:lvl w:ilvl="8" w:tplc="E83CF0D4" w:tentative="1">
      <w:start w:val="1"/>
      <w:numFmt w:val="lowerRoman"/>
      <w:lvlText w:val="%9."/>
      <w:lvlJc w:val="right"/>
      <w:pPr>
        <w:ind w:left="6828" w:hanging="180"/>
      </w:pPr>
    </w:lvl>
  </w:abstractNum>
  <w:abstractNum w:abstractNumId="5" w15:restartNumberingAfterBreak="0">
    <w:nsid w:val="17A539EC"/>
    <w:multiLevelType w:val="hybridMultilevel"/>
    <w:tmpl w:val="B532DCB8"/>
    <w:lvl w:ilvl="0" w:tplc="468E096A">
      <w:start w:val="1"/>
      <w:numFmt w:val="bullet"/>
      <w:lvlText w:val=""/>
      <w:lvlJc w:val="left"/>
      <w:pPr>
        <w:ind w:left="720" w:hanging="360"/>
      </w:pPr>
      <w:rPr>
        <w:rFonts w:ascii="Symbol" w:hAnsi="Symbol" w:hint="default"/>
        <w:color w:val="595959" w:themeColor="text1" w:themeTint="A6"/>
      </w:rPr>
    </w:lvl>
    <w:lvl w:ilvl="1" w:tplc="A98E5528" w:tentative="1">
      <w:start w:val="1"/>
      <w:numFmt w:val="bullet"/>
      <w:lvlText w:val="o"/>
      <w:lvlJc w:val="left"/>
      <w:pPr>
        <w:ind w:left="1440" w:hanging="360"/>
      </w:pPr>
      <w:rPr>
        <w:rFonts w:ascii="Courier New" w:hAnsi="Courier New" w:cs="Courier New" w:hint="default"/>
      </w:rPr>
    </w:lvl>
    <w:lvl w:ilvl="2" w:tplc="767854D2" w:tentative="1">
      <w:start w:val="1"/>
      <w:numFmt w:val="bullet"/>
      <w:lvlText w:val=""/>
      <w:lvlJc w:val="left"/>
      <w:pPr>
        <w:ind w:left="2160" w:hanging="360"/>
      </w:pPr>
      <w:rPr>
        <w:rFonts w:ascii="Wingdings" w:hAnsi="Wingdings" w:hint="default"/>
      </w:rPr>
    </w:lvl>
    <w:lvl w:ilvl="3" w:tplc="69B01BE0" w:tentative="1">
      <w:start w:val="1"/>
      <w:numFmt w:val="bullet"/>
      <w:lvlText w:val=""/>
      <w:lvlJc w:val="left"/>
      <w:pPr>
        <w:ind w:left="2880" w:hanging="360"/>
      </w:pPr>
      <w:rPr>
        <w:rFonts w:ascii="Symbol" w:hAnsi="Symbol" w:hint="default"/>
      </w:rPr>
    </w:lvl>
    <w:lvl w:ilvl="4" w:tplc="E07803BA" w:tentative="1">
      <w:start w:val="1"/>
      <w:numFmt w:val="bullet"/>
      <w:lvlText w:val="o"/>
      <w:lvlJc w:val="left"/>
      <w:pPr>
        <w:ind w:left="3600" w:hanging="360"/>
      </w:pPr>
      <w:rPr>
        <w:rFonts w:ascii="Courier New" w:hAnsi="Courier New" w:cs="Courier New" w:hint="default"/>
      </w:rPr>
    </w:lvl>
    <w:lvl w:ilvl="5" w:tplc="2E48FF12" w:tentative="1">
      <w:start w:val="1"/>
      <w:numFmt w:val="bullet"/>
      <w:lvlText w:val=""/>
      <w:lvlJc w:val="left"/>
      <w:pPr>
        <w:ind w:left="4320" w:hanging="360"/>
      </w:pPr>
      <w:rPr>
        <w:rFonts w:ascii="Wingdings" w:hAnsi="Wingdings" w:hint="default"/>
      </w:rPr>
    </w:lvl>
    <w:lvl w:ilvl="6" w:tplc="1EEC8C1C" w:tentative="1">
      <w:start w:val="1"/>
      <w:numFmt w:val="bullet"/>
      <w:lvlText w:val=""/>
      <w:lvlJc w:val="left"/>
      <w:pPr>
        <w:ind w:left="5040" w:hanging="360"/>
      </w:pPr>
      <w:rPr>
        <w:rFonts w:ascii="Symbol" w:hAnsi="Symbol" w:hint="default"/>
      </w:rPr>
    </w:lvl>
    <w:lvl w:ilvl="7" w:tplc="734ED018" w:tentative="1">
      <w:start w:val="1"/>
      <w:numFmt w:val="bullet"/>
      <w:lvlText w:val="o"/>
      <w:lvlJc w:val="left"/>
      <w:pPr>
        <w:ind w:left="5760" w:hanging="360"/>
      </w:pPr>
      <w:rPr>
        <w:rFonts w:ascii="Courier New" w:hAnsi="Courier New" w:cs="Courier New" w:hint="default"/>
      </w:rPr>
    </w:lvl>
    <w:lvl w:ilvl="8" w:tplc="A8F42942" w:tentative="1">
      <w:start w:val="1"/>
      <w:numFmt w:val="bullet"/>
      <w:lvlText w:val=""/>
      <w:lvlJc w:val="left"/>
      <w:pPr>
        <w:ind w:left="6480" w:hanging="360"/>
      </w:pPr>
      <w:rPr>
        <w:rFonts w:ascii="Wingdings" w:hAnsi="Wingdings" w:hint="default"/>
      </w:rPr>
    </w:lvl>
  </w:abstractNum>
  <w:abstractNum w:abstractNumId="6" w15:restartNumberingAfterBreak="0">
    <w:nsid w:val="241B4AD5"/>
    <w:multiLevelType w:val="hybridMultilevel"/>
    <w:tmpl w:val="E9A03C4E"/>
    <w:lvl w:ilvl="0" w:tplc="D9E0F0B6">
      <w:start w:val="1"/>
      <w:numFmt w:val="bullet"/>
      <w:lvlText w:val=""/>
      <w:lvlJc w:val="left"/>
      <w:pPr>
        <w:ind w:left="720" w:hanging="360"/>
      </w:pPr>
      <w:rPr>
        <w:rFonts w:ascii="Symbol" w:hAnsi="Symbol" w:hint="default"/>
      </w:rPr>
    </w:lvl>
    <w:lvl w:ilvl="1" w:tplc="2E3057AE" w:tentative="1">
      <w:start w:val="1"/>
      <w:numFmt w:val="bullet"/>
      <w:lvlText w:val="o"/>
      <w:lvlJc w:val="left"/>
      <w:pPr>
        <w:ind w:left="1440" w:hanging="360"/>
      </w:pPr>
      <w:rPr>
        <w:rFonts w:ascii="Courier New" w:hAnsi="Courier New" w:cs="Courier New" w:hint="default"/>
      </w:rPr>
    </w:lvl>
    <w:lvl w:ilvl="2" w:tplc="29227CE8" w:tentative="1">
      <w:start w:val="1"/>
      <w:numFmt w:val="bullet"/>
      <w:lvlText w:val=""/>
      <w:lvlJc w:val="left"/>
      <w:pPr>
        <w:ind w:left="2160" w:hanging="360"/>
      </w:pPr>
      <w:rPr>
        <w:rFonts w:ascii="Wingdings" w:hAnsi="Wingdings" w:hint="default"/>
      </w:rPr>
    </w:lvl>
    <w:lvl w:ilvl="3" w:tplc="5660FDBE" w:tentative="1">
      <w:start w:val="1"/>
      <w:numFmt w:val="bullet"/>
      <w:lvlText w:val=""/>
      <w:lvlJc w:val="left"/>
      <w:pPr>
        <w:ind w:left="2880" w:hanging="360"/>
      </w:pPr>
      <w:rPr>
        <w:rFonts w:ascii="Symbol" w:hAnsi="Symbol" w:hint="default"/>
      </w:rPr>
    </w:lvl>
    <w:lvl w:ilvl="4" w:tplc="0382CCCE" w:tentative="1">
      <w:start w:val="1"/>
      <w:numFmt w:val="bullet"/>
      <w:lvlText w:val="o"/>
      <w:lvlJc w:val="left"/>
      <w:pPr>
        <w:ind w:left="3600" w:hanging="360"/>
      </w:pPr>
      <w:rPr>
        <w:rFonts w:ascii="Courier New" w:hAnsi="Courier New" w:cs="Courier New" w:hint="default"/>
      </w:rPr>
    </w:lvl>
    <w:lvl w:ilvl="5" w:tplc="AA42203A" w:tentative="1">
      <w:start w:val="1"/>
      <w:numFmt w:val="bullet"/>
      <w:lvlText w:val=""/>
      <w:lvlJc w:val="left"/>
      <w:pPr>
        <w:ind w:left="4320" w:hanging="360"/>
      </w:pPr>
      <w:rPr>
        <w:rFonts w:ascii="Wingdings" w:hAnsi="Wingdings" w:hint="default"/>
      </w:rPr>
    </w:lvl>
    <w:lvl w:ilvl="6" w:tplc="C590DFE8" w:tentative="1">
      <w:start w:val="1"/>
      <w:numFmt w:val="bullet"/>
      <w:lvlText w:val=""/>
      <w:lvlJc w:val="left"/>
      <w:pPr>
        <w:ind w:left="5040" w:hanging="360"/>
      </w:pPr>
      <w:rPr>
        <w:rFonts w:ascii="Symbol" w:hAnsi="Symbol" w:hint="default"/>
      </w:rPr>
    </w:lvl>
    <w:lvl w:ilvl="7" w:tplc="63B23C16" w:tentative="1">
      <w:start w:val="1"/>
      <w:numFmt w:val="bullet"/>
      <w:lvlText w:val="o"/>
      <w:lvlJc w:val="left"/>
      <w:pPr>
        <w:ind w:left="5760" w:hanging="360"/>
      </w:pPr>
      <w:rPr>
        <w:rFonts w:ascii="Courier New" w:hAnsi="Courier New" w:cs="Courier New" w:hint="default"/>
      </w:rPr>
    </w:lvl>
    <w:lvl w:ilvl="8" w:tplc="9C167788" w:tentative="1">
      <w:start w:val="1"/>
      <w:numFmt w:val="bullet"/>
      <w:lvlText w:val=""/>
      <w:lvlJc w:val="left"/>
      <w:pPr>
        <w:ind w:left="6480" w:hanging="360"/>
      </w:pPr>
      <w:rPr>
        <w:rFonts w:ascii="Wingdings" w:hAnsi="Wingdings" w:hint="default"/>
      </w:rPr>
    </w:lvl>
  </w:abstractNum>
  <w:abstractNum w:abstractNumId="7" w15:restartNumberingAfterBreak="0">
    <w:nsid w:val="29141A73"/>
    <w:multiLevelType w:val="hybridMultilevel"/>
    <w:tmpl w:val="B05C58E4"/>
    <w:lvl w:ilvl="0" w:tplc="6CAA3652">
      <w:start w:val="1"/>
      <w:numFmt w:val="bullet"/>
      <w:lvlText w:val=""/>
      <w:lvlJc w:val="left"/>
      <w:pPr>
        <w:ind w:left="720" w:hanging="360"/>
      </w:pPr>
      <w:rPr>
        <w:rFonts w:ascii="Symbol" w:hAnsi="Symbol" w:hint="default"/>
      </w:rPr>
    </w:lvl>
    <w:lvl w:ilvl="1" w:tplc="5CC2F6B8" w:tentative="1">
      <w:start w:val="1"/>
      <w:numFmt w:val="bullet"/>
      <w:lvlText w:val="o"/>
      <w:lvlJc w:val="left"/>
      <w:pPr>
        <w:ind w:left="1440" w:hanging="360"/>
      </w:pPr>
      <w:rPr>
        <w:rFonts w:ascii="Courier New" w:hAnsi="Courier New" w:cs="Courier New" w:hint="default"/>
      </w:rPr>
    </w:lvl>
    <w:lvl w:ilvl="2" w:tplc="89F4D73E" w:tentative="1">
      <w:start w:val="1"/>
      <w:numFmt w:val="bullet"/>
      <w:lvlText w:val=""/>
      <w:lvlJc w:val="left"/>
      <w:pPr>
        <w:ind w:left="2160" w:hanging="360"/>
      </w:pPr>
      <w:rPr>
        <w:rFonts w:ascii="Wingdings" w:hAnsi="Wingdings" w:hint="default"/>
      </w:rPr>
    </w:lvl>
    <w:lvl w:ilvl="3" w:tplc="05306FBA" w:tentative="1">
      <w:start w:val="1"/>
      <w:numFmt w:val="bullet"/>
      <w:lvlText w:val=""/>
      <w:lvlJc w:val="left"/>
      <w:pPr>
        <w:ind w:left="2880" w:hanging="360"/>
      </w:pPr>
      <w:rPr>
        <w:rFonts w:ascii="Symbol" w:hAnsi="Symbol" w:hint="default"/>
      </w:rPr>
    </w:lvl>
    <w:lvl w:ilvl="4" w:tplc="A9BE4B36" w:tentative="1">
      <w:start w:val="1"/>
      <w:numFmt w:val="bullet"/>
      <w:lvlText w:val="o"/>
      <w:lvlJc w:val="left"/>
      <w:pPr>
        <w:ind w:left="3600" w:hanging="360"/>
      </w:pPr>
      <w:rPr>
        <w:rFonts w:ascii="Courier New" w:hAnsi="Courier New" w:cs="Courier New" w:hint="default"/>
      </w:rPr>
    </w:lvl>
    <w:lvl w:ilvl="5" w:tplc="EE68CBC2" w:tentative="1">
      <w:start w:val="1"/>
      <w:numFmt w:val="bullet"/>
      <w:lvlText w:val=""/>
      <w:lvlJc w:val="left"/>
      <w:pPr>
        <w:ind w:left="4320" w:hanging="360"/>
      </w:pPr>
      <w:rPr>
        <w:rFonts w:ascii="Wingdings" w:hAnsi="Wingdings" w:hint="default"/>
      </w:rPr>
    </w:lvl>
    <w:lvl w:ilvl="6" w:tplc="61022842" w:tentative="1">
      <w:start w:val="1"/>
      <w:numFmt w:val="bullet"/>
      <w:lvlText w:val=""/>
      <w:lvlJc w:val="left"/>
      <w:pPr>
        <w:ind w:left="5040" w:hanging="360"/>
      </w:pPr>
      <w:rPr>
        <w:rFonts w:ascii="Symbol" w:hAnsi="Symbol" w:hint="default"/>
      </w:rPr>
    </w:lvl>
    <w:lvl w:ilvl="7" w:tplc="DF14AA60" w:tentative="1">
      <w:start w:val="1"/>
      <w:numFmt w:val="bullet"/>
      <w:lvlText w:val="o"/>
      <w:lvlJc w:val="left"/>
      <w:pPr>
        <w:ind w:left="5760" w:hanging="360"/>
      </w:pPr>
      <w:rPr>
        <w:rFonts w:ascii="Courier New" w:hAnsi="Courier New" w:cs="Courier New" w:hint="default"/>
      </w:rPr>
    </w:lvl>
    <w:lvl w:ilvl="8" w:tplc="B914D766" w:tentative="1">
      <w:start w:val="1"/>
      <w:numFmt w:val="bullet"/>
      <w:lvlText w:val=""/>
      <w:lvlJc w:val="left"/>
      <w:pPr>
        <w:ind w:left="6480" w:hanging="360"/>
      </w:pPr>
      <w:rPr>
        <w:rFonts w:ascii="Wingdings" w:hAnsi="Wingdings" w:hint="default"/>
      </w:rPr>
    </w:lvl>
  </w:abstractNum>
  <w:abstractNum w:abstractNumId="8" w15:restartNumberingAfterBreak="0">
    <w:nsid w:val="29387EDF"/>
    <w:multiLevelType w:val="hybridMultilevel"/>
    <w:tmpl w:val="0DB2BC1E"/>
    <w:lvl w:ilvl="0" w:tplc="1F74023E">
      <w:start w:val="1"/>
      <w:numFmt w:val="bullet"/>
      <w:lvlText w:val=""/>
      <w:lvlJc w:val="left"/>
      <w:pPr>
        <w:ind w:left="1080" w:hanging="360"/>
      </w:pPr>
      <w:rPr>
        <w:rFonts w:ascii="Symbol" w:hAnsi="Symbol" w:hint="default"/>
      </w:rPr>
    </w:lvl>
    <w:lvl w:ilvl="1" w:tplc="73F85962" w:tentative="1">
      <w:start w:val="1"/>
      <w:numFmt w:val="bullet"/>
      <w:lvlText w:val="o"/>
      <w:lvlJc w:val="left"/>
      <w:pPr>
        <w:ind w:left="1800" w:hanging="360"/>
      </w:pPr>
      <w:rPr>
        <w:rFonts w:ascii="Courier New" w:hAnsi="Courier New" w:cs="Courier New" w:hint="default"/>
      </w:rPr>
    </w:lvl>
    <w:lvl w:ilvl="2" w:tplc="78524FB4" w:tentative="1">
      <w:start w:val="1"/>
      <w:numFmt w:val="bullet"/>
      <w:lvlText w:val=""/>
      <w:lvlJc w:val="left"/>
      <w:pPr>
        <w:ind w:left="2520" w:hanging="360"/>
      </w:pPr>
      <w:rPr>
        <w:rFonts w:ascii="Wingdings" w:hAnsi="Wingdings" w:hint="default"/>
      </w:rPr>
    </w:lvl>
    <w:lvl w:ilvl="3" w:tplc="3D30B210" w:tentative="1">
      <w:start w:val="1"/>
      <w:numFmt w:val="bullet"/>
      <w:lvlText w:val=""/>
      <w:lvlJc w:val="left"/>
      <w:pPr>
        <w:ind w:left="3240" w:hanging="360"/>
      </w:pPr>
      <w:rPr>
        <w:rFonts w:ascii="Symbol" w:hAnsi="Symbol" w:hint="default"/>
      </w:rPr>
    </w:lvl>
    <w:lvl w:ilvl="4" w:tplc="A808D390" w:tentative="1">
      <w:start w:val="1"/>
      <w:numFmt w:val="bullet"/>
      <w:lvlText w:val="o"/>
      <w:lvlJc w:val="left"/>
      <w:pPr>
        <w:ind w:left="3960" w:hanging="360"/>
      </w:pPr>
      <w:rPr>
        <w:rFonts w:ascii="Courier New" w:hAnsi="Courier New" w:cs="Courier New" w:hint="default"/>
      </w:rPr>
    </w:lvl>
    <w:lvl w:ilvl="5" w:tplc="B4328F86" w:tentative="1">
      <w:start w:val="1"/>
      <w:numFmt w:val="bullet"/>
      <w:lvlText w:val=""/>
      <w:lvlJc w:val="left"/>
      <w:pPr>
        <w:ind w:left="4680" w:hanging="360"/>
      </w:pPr>
      <w:rPr>
        <w:rFonts w:ascii="Wingdings" w:hAnsi="Wingdings" w:hint="default"/>
      </w:rPr>
    </w:lvl>
    <w:lvl w:ilvl="6" w:tplc="93DCE06C" w:tentative="1">
      <w:start w:val="1"/>
      <w:numFmt w:val="bullet"/>
      <w:lvlText w:val=""/>
      <w:lvlJc w:val="left"/>
      <w:pPr>
        <w:ind w:left="5400" w:hanging="360"/>
      </w:pPr>
      <w:rPr>
        <w:rFonts w:ascii="Symbol" w:hAnsi="Symbol" w:hint="default"/>
      </w:rPr>
    </w:lvl>
    <w:lvl w:ilvl="7" w:tplc="43F0AF2C" w:tentative="1">
      <w:start w:val="1"/>
      <w:numFmt w:val="bullet"/>
      <w:lvlText w:val="o"/>
      <w:lvlJc w:val="left"/>
      <w:pPr>
        <w:ind w:left="6120" w:hanging="360"/>
      </w:pPr>
      <w:rPr>
        <w:rFonts w:ascii="Courier New" w:hAnsi="Courier New" w:cs="Courier New" w:hint="default"/>
      </w:rPr>
    </w:lvl>
    <w:lvl w:ilvl="8" w:tplc="CC0C7BEE" w:tentative="1">
      <w:start w:val="1"/>
      <w:numFmt w:val="bullet"/>
      <w:lvlText w:val=""/>
      <w:lvlJc w:val="left"/>
      <w:pPr>
        <w:ind w:left="6840" w:hanging="360"/>
      </w:pPr>
      <w:rPr>
        <w:rFonts w:ascii="Wingdings" w:hAnsi="Wingdings" w:hint="default"/>
      </w:rPr>
    </w:lvl>
  </w:abstractNum>
  <w:abstractNum w:abstractNumId="9" w15:restartNumberingAfterBreak="0">
    <w:nsid w:val="2A815465"/>
    <w:multiLevelType w:val="hybridMultilevel"/>
    <w:tmpl w:val="DE306A7E"/>
    <w:lvl w:ilvl="0" w:tplc="C394BB74">
      <w:numFmt w:val="bullet"/>
      <w:lvlText w:val="-"/>
      <w:lvlJc w:val="left"/>
      <w:pPr>
        <w:ind w:left="1080" w:hanging="360"/>
      </w:pPr>
      <w:rPr>
        <w:rFonts w:ascii="Verdana" w:eastAsiaTheme="minorHAnsi" w:hAnsi="Verdana" w:cstheme="minorBidi" w:hint="default"/>
      </w:rPr>
    </w:lvl>
    <w:lvl w:ilvl="1" w:tplc="F8A0DA62" w:tentative="1">
      <w:start w:val="1"/>
      <w:numFmt w:val="bullet"/>
      <w:lvlText w:val="o"/>
      <w:lvlJc w:val="left"/>
      <w:pPr>
        <w:ind w:left="1800" w:hanging="360"/>
      </w:pPr>
      <w:rPr>
        <w:rFonts w:ascii="Courier New" w:hAnsi="Courier New" w:cs="Courier New" w:hint="default"/>
      </w:rPr>
    </w:lvl>
    <w:lvl w:ilvl="2" w:tplc="90E88154" w:tentative="1">
      <w:start w:val="1"/>
      <w:numFmt w:val="bullet"/>
      <w:lvlText w:val=""/>
      <w:lvlJc w:val="left"/>
      <w:pPr>
        <w:ind w:left="2520" w:hanging="360"/>
      </w:pPr>
      <w:rPr>
        <w:rFonts w:ascii="Wingdings" w:hAnsi="Wingdings" w:hint="default"/>
      </w:rPr>
    </w:lvl>
    <w:lvl w:ilvl="3" w:tplc="D2B63A50" w:tentative="1">
      <w:start w:val="1"/>
      <w:numFmt w:val="bullet"/>
      <w:lvlText w:val=""/>
      <w:lvlJc w:val="left"/>
      <w:pPr>
        <w:ind w:left="3240" w:hanging="360"/>
      </w:pPr>
      <w:rPr>
        <w:rFonts w:ascii="Symbol" w:hAnsi="Symbol" w:hint="default"/>
      </w:rPr>
    </w:lvl>
    <w:lvl w:ilvl="4" w:tplc="7654E192" w:tentative="1">
      <w:start w:val="1"/>
      <w:numFmt w:val="bullet"/>
      <w:lvlText w:val="o"/>
      <w:lvlJc w:val="left"/>
      <w:pPr>
        <w:ind w:left="3960" w:hanging="360"/>
      </w:pPr>
      <w:rPr>
        <w:rFonts w:ascii="Courier New" w:hAnsi="Courier New" w:cs="Courier New" w:hint="default"/>
      </w:rPr>
    </w:lvl>
    <w:lvl w:ilvl="5" w:tplc="5F3ABD3E" w:tentative="1">
      <w:start w:val="1"/>
      <w:numFmt w:val="bullet"/>
      <w:lvlText w:val=""/>
      <w:lvlJc w:val="left"/>
      <w:pPr>
        <w:ind w:left="4680" w:hanging="360"/>
      </w:pPr>
      <w:rPr>
        <w:rFonts w:ascii="Wingdings" w:hAnsi="Wingdings" w:hint="default"/>
      </w:rPr>
    </w:lvl>
    <w:lvl w:ilvl="6" w:tplc="ADEA76B2" w:tentative="1">
      <w:start w:val="1"/>
      <w:numFmt w:val="bullet"/>
      <w:lvlText w:val=""/>
      <w:lvlJc w:val="left"/>
      <w:pPr>
        <w:ind w:left="5400" w:hanging="360"/>
      </w:pPr>
      <w:rPr>
        <w:rFonts w:ascii="Symbol" w:hAnsi="Symbol" w:hint="default"/>
      </w:rPr>
    </w:lvl>
    <w:lvl w:ilvl="7" w:tplc="0E5AE85A" w:tentative="1">
      <w:start w:val="1"/>
      <w:numFmt w:val="bullet"/>
      <w:lvlText w:val="o"/>
      <w:lvlJc w:val="left"/>
      <w:pPr>
        <w:ind w:left="6120" w:hanging="360"/>
      </w:pPr>
      <w:rPr>
        <w:rFonts w:ascii="Courier New" w:hAnsi="Courier New" w:cs="Courier New" w:hint="default"/>
      </w:rPr>
    </w:lvl>
    <w:lvl w:ilvl="8" w:tplc="679C6ADE" w:tentative="1">
      <w:start w:val="1"/>
      <w:numFmt w:val="bullet"/>
      <w:lvlText w:val=""/>
      <w:lvlJc w:val="left"/>
      <w:pPr>
        <w:ind w:left="6840" w:hanging="360"/>
      </w:pPr>
      <w:rPr>
        <w:rFonts w:ascii="Wingdings" w:hAnsi="Wingdings" w:hint="default"/>
      </w:rPr>
    </w:lvl>
  </w:abstractNum>
  <w:abstractNum w:abstractNumId="10" w15:restartNumberingAfterBreak="0">
    <w:nsid w:val="2C30797A"/>
    <w:multiLevelType w:val="hybridMultilevel"/>
    <w:tmpl w:val="565ECBBC"/>
    <w:lvl w:ilvl="0" w:tplc="693810FA">
      <w:start w:val="1"/>
      <w:numFmt w:val="bullet"/>
      <w:lvlText w:val=""/>
      <w:lvlJc w:val="left"/>
      <w:pPr>
        <w:ind w:left="720" w:hanging="360"/>
      </w:pPr>
      <w:rPr>
        <w:rFonts w:ascii="Symbol" w:hAnsi="Symbol" w:hint="default"/>
      </w:rPr>
    </w:lvl>
    <w:lvl w:ilvl="1" w:tplc="B328944A" w:tentative="1">
      <w:start w:val="1"/>
      <w:numFmt w:val="bullet"/>
      <w:lvlText w:val="o"/>
      <w:lvlJc w:val="left"/>
      <w:pPr>
        <w:ind w:left="1440" w:hanging="360"/>
      </w:pPr>
      <w:rPr>
        <w:rFonts w:ascii="Courier New" w:hAnsi="Courier New" w:cs="Courier New" w:hint="default"/>
      </w:rPr>
    </w:lvl>
    <w:lvl w:ilvl="2" w:tplc="419EC760" w:tentative="1">
      <w:start w:val="1"/>
      <w:numFmt w:val="bullet"/>
      <w:lvlText w:val=""/>
      <w:lvlJc w:val="left"/>
      <w:pPr>
        <w:ind w:left="2160" w:hanging="360"/>
      </w:pPr>
      <w:rPr>
        <w:rFonts w:ascii="Wingdings" w:hAnsi="Wingdings" w:hint="default"/>
      </w:rPr>
    </w:lvl>
    <w:lvl w:ilvl="3" w:tplc="4970C510" w:tentative="1">
      <w:start w:val="1"/>
      <w:numFmt w:val="bullet"/>
      <w:lvlText w:val=""/>
      <w:lvlJc w:val="left"/>
      <w:pPr>
        <w:ind w:left="2880" w:hanging="360"/>
      </w:pPr>
      <w:rPr>
        <w:rFonts w:ascii="Symbol" w:hAnsi="Symbol" w:hint="default"/>
      </w:rPr>
    </w:lvl>
    <w:lvl w:ilvl="4" w:tplc="7B084B00" w:tentative="1">
      <w:start w:val="1"/>
      <w:numFmt w:val="bullet"/>
      <w:lvlText w:val="o"/>
      <w:lvlJc w:val="left"/>
      <w:pPr>
        <w:ind w:left="3600" w:hanging="360"/>
      </w:pPr>
      <w:rPr>
        <w:rFonts w:ascii="Courier New" w:hAnsi="Courier New" w:cs="Courier New" w:hint="default"/>
      </w:rPr>
    </w:lvl>
    <w:lvl w:ilvl="5" w:tplc="90FEC94E" w:tentative="1">
      <w:start w:val="1"/>
      <w:numFmt w:val="bullet"/>
      <w:lvlText w:val=""/>
      <w:lvlJc w:val="left"/>
      <w:pPr>
        <w:ind w:left="4320" w:hanging="360"/>
      </w:pPr>
      <w:rPr>
        <w:rFonts w:ascii="Wingdings" w:hAnsi="Wingdings" w:hint="default"/>
      </w:rPr>
    </w:lvl>
    <w:lvl w:ilvl="6" w:tplc="617C63BA" w:tentative="1">
      <w:start w:val="1"/>
      <w:numFmt w:val="bullet"/>
      <w:lvlText w:val=""/>
      <w:lvlJc w:val="left"/>
      <w:pPr>
        <w:ind w:left="5040" w:hanging="360"/>
      </w:pPr>
      <w:rPr>
        <w:rFonts w:ascii="Symbol" w:hAnsi="Symbol" w:hint="default"/>
      </w:rPr>
    </w:lvl>
    <w:lvl w:ilvl="7" w:tplc="7730E3B6" w:tentative="1">
      <w:start w:val="1"/>
      <w:numFmt w:val="bullet"/>
      <w:lvlText w:val="o"/>
      <w:lvlJc w:val="left"/>
      <w:pPr>
        <w:ind w:left="5760" w:hanging="360"/>
      </w:pPr>
      <w:rPr>
        <w:rFonts w:ascii="Courier New" w:hAnsi="Courier New" w:cs="Courier New" w:hint="default"/>
      </w:rPr>
    </w:lvl>
    <w:lvl w:ilvl="8" w:tplc="5712B2B8" w:tentative="1">
      <w:start w:val="1"/>
      <w:numFmt w:val="bullet"/>
      <w:lvlText w:val=""/>
      <w:lvlJc w:val="left"/>
      <w:pPr>
        <w:ind w:left="6480" w:hanging="360"/>
      </w:pPr>
      <w:rPr>
        <w:rFonts w:ascii="Wingdings" w:hAnsi="Wingdings" w:hint="default"/>
      </w:rPr>
    </w:lvl>
  </w:abstractNum>
  <w:abstractNum w:abstractNumId="11" w15:restartNumberingAfterBreak="0">
    <w:nsid w:val="32883B94"/>
    <w:multiLevelType w:val="hybridMultilevel"/>
    <w:tmpl w:val="A64C41F6"/>
    <w:lvl w:ilvl="0" w:tplc="C5B079D8">
      <w:start w:val="1"/>
      <w:numFmt w:val="bullet"/>
      <w:lvlText w:val=""/>
      <w:lvlJc w:val="left"/>
      <w:pPr>
        <w:ind w:left="720" w:hanging="360"/>
      </w:pPr>
      <w:rPr>
        <w:rFonts w:ascii="Symbol" w:hAnsi="Symbol" w:hint="default"/>
        <w:color w:val="595959" w:themeColor="text1" w:themeTint="A6"/>
      </w:rPr>
    </w:lvl>
    <w:lvl w:ilvl="1" w:tplc="C720CB96" w:tentative="1">
      <w:start w:val="1"/>
      <w:numFmt w:val="bullet"/>
      <w:lvlText w:val="o"/>
      <w:lvlJc w:val="left"/>
      <w:pPr>
        <w:ind w:left="1440" w:hanging="360"/>
      </w:pPr>
      <w:rPr>
        <w:rFonts w:ascii="Courier New" w:hAnsi="Courier New" w:cs="Courier New" w:hint="default"/>
      </w:rPr>
    </w:lvl>
    <w:lvl w:ilvl="2" w:tplc="E3F6ECE6" w:tentative="1">
      <w:start w:val="1"/>
      <w:numFmt w:val="bullet"/>
      <w:lvlText w:val=""/>
      <w:lvlJc w:val="left"/>
      <w:pPr>
        <w:ind w:left="2160" w:hanging="360"/>
      </w:pPr>
      <w:rPr>
        <w:rFonts w:ascii="Wingdings" w:hAnsi="Wingdings" w:hint="default"/>
      </w:rPr>
    </w:lvl>
    <w:lvl w:ilvl="3" w:tplc="CF2C6216" w:tentative="1">
      <w:start w:val="1"/>
      <w:numFmt w:val="bullet"/>
      <w:lvlText w:val=""/>
      <w:lvlJc w:val="left"/>
      <w:pPr>
        <w:ind w:left="2880" w:hanging="360"/>
      </w:pPr>
      <w:rPr>
        <w:rFonts w:ascii="Symbol" w:hAnsi="Symbol" w:hint="default"/>
      </w:rPr>
    </w:lvl>
    <w:lvl w:ilvl="4" w:tplc="70525708" w:tentative="1">
      <w:start w:val="1"/>
      <w:numFmt w:val="bullet"/>
      <w:lvlText w:val="o"/>
      <w:lvlJc w:val="left"/>
      <w:pPr>
        <w:ind w:left="3600" w:hanging="360"/>
      </w:pPr>
      <w:rPr>
        <w:rFonts w:ascii="Courier New" w:hAnsi="Courier New" w:cs="Courier New" w:hint="default"/>
      </w:rPr>
    </w:lvl>
    <w:lvl w:ilvl="5" w:tplc="5C5EFC6A" w:tentative="1">
      <w:start w:val="1"/>
      <w:numFmt w:val="bullet"/>
      <w:lvlText w:val=""/>
      <w:lvlJc w:val="left"/>
      <w:pPr>
        <w:ind w:left="4320" w:hanging="360"/>
      </w:pPr>
      <w:rPr>
        <w:rFonts w:ascii="Wingdings" w:hAnsi="Wingdings" w:hint="default"/>
      </w:rPr>
    </w:lvl>
    <w:lvl w:ilvl="6" w:tplc="00785714" w:tentative="1">
      <w:start w:val="1"/>
      <w:numFmt w:val="bullet"/>
      <w:lvlText w:val=""/>
      <w:lvlJc w:val="left"/>
      <w:pPr>
        <w:ind w:left="5040" w:hanging="360"/>
      </w:pPr>
      <w:rPr>
        <w:rFonts w:ascii="Symbol" w:hAnsi="Symbol" w:hint="default"/>
      </w:rPr>
    </w:lvl>
    <w:lvl w:ilvl="7" w:tplc="EE9676CA" w:tentative="1">
      <w:start w:val="1"/>
      <w:numFmt w:val="bullet"/>
      <w:lvlText w:val="o"/>
      <w:lvlJc w:val="left"/>
      <w:pPr>
        <w:ind w:left="5760" w:hanging="360"/>
      </w:pPr>
      <w:rPr>
        <w:rFonts w:ascii="Courier New" w:hAnsi="Courier New" w:cs="Courier New" w:hint="default"/>
      </w:rPr>
    </w:lvl>
    <w:lvl w:ilvl="8" w:tplc="C0484358" w:tentative="1">
      <w:start w:val="1"/>
      <w:numFmt w:val="bullet"/>
      <w:lvlText w:val=""/>
      <w:lvlJc w:val="left"/>
      <w:pPr>
        <w:ind w:left="6480" w:hanging="360"/>
      </w:pPr>
      <w:rPr>
        <w:rFonts w:ascii="Wingdings" w:hAnsi="Wingdings" w:hint="default"/>
      </w:rPr>
    </w:lvl>
  </w:abstractNum>
  <w:abstractNum w:abstractNumId="12" w15:restartNumberingAfterBreak="0">
    <w:nsid w:val="33C72664"/>
    <w:multiLevelType w:val="multilevel"/>
    <w:tmpl w:val="2904D358"/>
    <w:lvl w:ilvl="0">
      <w:start w:val="1"/>
      <w:numFmt w:val="bullet"/>
      <w:lvlText w:val=""/>
      <w:lvlJc w:val="left"/>
      <w:pPr>
        <w:ind w:left="432" w:hanging="432"/>
      </w:pPr>
      <w:rPr>
        <w:rFonts w:ascii="Symbol" w:hAnsi="Symbol" w:hint="default"/>
      </w:rPr>
    </w:lvl>
    <w:lvl w:ilvl="1">
      <w:start w:val="1"/>
      <w:numFmt w:val="decimal"/>
      <w:lvlText w:val="%1.%2"/>
      <w:lvlJc w:val="left"/>
      <w:pPr>
        <w:ind w:left="737" w:hanging="737"/>
      </w:pPr>
      <w:rPr>
        <w:rFonts w:hint="default"/>
      </w:rPr>
    </w:lvl>
    <w:lvl w:ilvl="2">
      <w:start w:val="1"/>
      <w:numFmt w:val="decimal"/>
      <w:lvlText w:val="%1.%2.%3"/>
      <w:lvlJc w:val="left"/>
      <w:pPr>
        <w:ind w:left="862" w:hanging="720"/>
      </w:pPr>
      <w:rPr>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E9E03CE"/>
    <w:multiLevelType w:val="hybridMultilevel"/>
    <w:tmpl w:val="54E42598"/>
    <w:lvl w:ilvl="0" w:tplc="85881FB6">
      <w:start w:val="1"/>
      <w:numFmt w:val="bullet"/>
      <w:lvlText w:val=""/>
      <w:lvlJc w:val="left"/>
      <w:pPr>
        <w:ind w:left="720" w:hanging="360"/>
      </w:pPr>
      <w:rPr>
        <w:rFonts w:ascii="Symbol" w:hAnsi="Symbol" w:hint="default"/>
      </w:rPr>
    </w:lvl>
    <w:lvl w:ilvl="1" w:tplc="F52406F6" w:tentative="1">
      <w:start w:val="1"/>
      <w:numFmt w:val="bullet"/>
      <w:lvlText w:val="o"/>
      <w:lvlJc w:val="left"/>
      <w:pPr>
        <w:ind w:left="1440" w:hanging="360"/>
      </w:pPr>
      <w:rPr>
        <w:rFonts w:ascii="Courier New" w:hAnsi="Courier New" w:cs="Courier New" w:hint="default"/>
      </w:rPr>
    </w:lvl>
    <w:lvl w:ilvl="2" w:tplc="5F78E74A" w:tentative="1">
      <w:start w:val="1"/>
      <w:numFmt w:val="bullet"/>
      <w:lvlText w:val=""/>
      <w:lvlJc w:val="left"/>
      <w:pPr>
        <w:ind w:left="2160" w:hanging="360"/>
      </w:pPr>
      <w:rPr>
        <w:rFonts w:ascii="Wingdings" w:hAnsi="Wingdings" w:hint="default"/>
      </w:rPr>
    </w:lvl>
    <w:lvl w:ilvl="3" w:tplc="9068782C">
      <w:start w:val="1"/>
      <w:numFmt w:val="bullet"/>
      <w:lvlText w:val=""/>
      <w:lvlJc w:val="left"/>
      <w:pPr>
        <w:ind w:left="2880" w:hanging="360"/>
      </w:pPr>
      <w:rPr>
        <w:rFonts w:ascii="Symbol" w:hAnsi="Symbol" w:hint="default"/>
      </w:rPr>
    </w:lvl>
    <w:lvl w:ilvl="4" w:tplc="B0A679B2" w:tentative="1">
      <w:start w:val="1"/>
      <w:numFmt w:val="bullet"/>
      <w:lvlText w:val="o"/>
      <w:lvlJc w:val="left"/>
      <w:pPr>
        <w:ind w:left="3600" w:hanging="360"/>
      </w:pPr>
      <w:rPr>
        <w:rFonts w:ascii="Courier New" w:hAnsi="Courier New" w:cs="Courier New" w:hint="default"/>
      </w:rPr>
    </w:lvl>
    <w:lvl w:ilvl="5" w:tplc="FDBCD152" w:tentative="1">
      <w:start w:val="1"/>
      <w:numFmt w:val="bullet"/>
      <w:lvlText w:val=""/>
      <w:lvlJc w:val="left"/>
      <w:pPr>
        <w:ind w:left="4320" w:hanging="360"/>
      </w:pPr>
      <w:rPr>
        <w:rFonts w:ascii="Wingdings" w:hAnsi="Wingdings" w:hint="default"/>
      </w:rPr>
    </w:lvl>
    <w:lvl w:ilvl="6" w:tplc="D75C8A3E" w:tentative="1">
      <w:start w:val="1"/>
      <w:numFmt w:val="bullet"/>
      <w:lvlText w:val=""/>
      <w:lvlJc w:val="left"/>
      <w:pPr>
        <w:ind w:left="5040" w:hanging="360"/>
      </w:pPr>
      <w:rPr>
        <w:rFonts w:ascii="Symbol" w:hAnsi="Symbol" w:hint="default"/>
      </w:rPr>
    </w:lvl>
    <w:lvl w:ilvl="7" w:tplc="EE3887AE" w:tentative="1">
      <w:start w:val="1"/>
      <w:numFmt w:val="bullet"/>
      <w:lvlText w:val="o"/>
      <w:lvlJc w:val="left"/>
      <w:pPr>
        <w:ind w:left="5760" w:hanging="360"/>
      </w:pPr>
      <w:rPr>
        <w:rFonts w:ascii="Courier New" w:hAnsi="Courier New" w:cs="Courier New" w:hint="default"/>
      </w:rPr>
    </w:lvl>
    <w:lvl w:ilvl="8" w:tplc="8A00C2BE" w:tentative="1">
      <w:start w:val="1"/>
      <w:numFmt w:val="bullet"/>
      <w:lvlText w:val=""/>
      <w:lvlJc w:val="left"/>
      <w:pPr>
        <w:ind w:left="6480" w:hanging="360"/>
      </w:pPr>
      <w:rPr>
        <w:rFonts w:ascii="Wingdings" w:hAnsi="Wingdings" w:hint="default"/>
      </w:rPr>
    </w:lvl>
  </w:abstractNum>
  <w:abstractNum w:abstractNumId="14" w15:restartNumberingAfterBreak="0">
    <w:nsid w:val="4C9241F5"/>
    <w:multiLevelType w:val="hybridMultilevel"/>
    <w:tmpl w:val="DDF0FCBA"/>
    <w:lvl w:ilvl="0" w:tplc="CC1E2564">
      <w:numFmt w:val="bullet"/>
      <w:lvlText w:val="-"/>
      <w:lvlJc w:val="left"/>
      <w:pPr>
        <w:ind w:left="720" w:hanging="360"/>
      </w:pPr>
      <w:rPr>
        <w:rFonts w:ascii="Verdana" w:eastAsiaTheme="minorHAnsi" w:hAnsi="Verdana" w:cstheme="minorBidi" w:hint="default"/>
      </w:rPr>
    </w:lvl>
    <w:lvl w:ilvl="1" w:tplc="F550A2F8" w:tentative="1">
      <w:start w:val="1"/>
      <w:numFmt w:val="bullet"/>
      <w:lvlText w:val="o"/>
      <w:lvlJc w:val="left"/>
      <w:pPr>
        <w:ind w:left="1440" w:hanging="360"/>
      </w:pPr>
      <w:rPr>
        <w:rFonts w:ascii="Courier New" w:hAnsi="Courier New" w:cs="Courier New" w:hint="default"/>
      </w:rPr>
    </w:lvl>
    <w:lvl w:ilvl="2" w:tplc="8418FEFE" w:tentative="1">
      <w:start w:val="1"/>
      <w:numFmt w:val="bullet"/>
      <w:lvlText w:val=""/>
      <w:lvlJc w:val="left"/>
      <w:pPr>
        <w:ind w:left="2160" w:hanging="360"/>
      </w:pPr>
      <w:rPr>
        <w:rFonts w:ascii="Wingdings" w:hAnsi="Wingdings" w:hint="default"/>
      </w:rPr>
    </w:lvl>
    <w:lvl w:ilvl="3" w:tplc="04C8C276" w:tentative="1">
      <w:start w:val="1"/>
      <w:numFmt w:val="bullet"/>
      <w:lvlText w:val=""/>
      <w:lvlJc w:val="left"/>
      <w:pPr>
        <w:ind w:left="2880" w:hanging="360"/>
      </w:pPr>
      <w:rPr>
        <w:rFonts w:ascii="Symbol" w:hAnsi="Symbol" w:hint="default"/>
      </w:rPr>
    </w:lvl>
    <w:lvl w:ilvl="4" w:tplc="B420CDEA" w:tentative="1">
      <w:start w:val="1"/>
      <w:numFmt w:val="bullet"/>
      <w:lvlText w:val="o"/>
      <w:lvlJc w:val="left"/>
      <w:pPr>
        <w:ind w:left="3600" w:hanging="360"/>
      </w:pPr>
      <w:rPr>
        <w:rFonts w:ascii="Courier New" w:hAnsi="Courier New" w:cs="Courier New" w:hint="default"/>
      </w:rPr>
    </w:lvl>
    <w:lvl w:ilvl="5" w:tplc="2A5C65E6" w:tentative="1">
      <w:start w:val="1"/>
      <w:numFmt w:val="bullet"/>
      <w:lvlText w:val=""/>
      <w:lvlJc w:val="left"/>
      <w:pPr>
        <w:ind w:left="4320" w:hanging="360"/>
      </w:pPr>
      <w:rPr>
        <w:rFonts w:ascii="Wingdings" w:hAnsi="Wingdings" w:hint="default"/>
      </w:rPr>
    </w:lvl>
    <w:lvl w:ilvl="6" w:tplc="85A4844A" w:tentative="1">
      <w:start w:val="1"/>
      <w:numFmt w:val="bullet"/>
      <w:lvlText w:val=""/>
      <w:lvlJc w:val="left"/>
      <w:pPr>
        <w:ind w:left="5040" w:hanging="360"/>
      </w:pPr>
      <w:rPr>
        <w:rFonts w:ascii="Symbol" w:hAnsi="Symbol" w:hint="default"/>
      </w:rPr>
    </w:lvl>
    <w:lvl w:ilvl="7" w:tplc="68E828CE" w:tentative="1">
      <w:start w:val="1"/>
      <w:numFmt w:val="bullet"/>
      <w:lvlText w:val="o"/>
      <w:lvlJc w:val="left"/>
      <w:pPr>
        <w:ind w:left="5760" w:hanging="360"/>
      </w:pPr>
      <w:rPr>
        <w:rFonts w:ascii="Courier New" w:hAnsi="Courier New" w:cs="Courier New" w:hint="default"/>
      </w:rPr>
    </w:lvl>
    <w:lvl w:ilvl="8" w:tplc="AE069006" w:tentative="1">
      <w:start w:val="1"/>
      <w:numFmt w:val="bullet"/>
      <w:lvlText w:val=""/>
      <w:lvlJc w:val="left"/>
      <w:pPr>
        <w:ind w:left="6480" w:hanging="360"/>
      </w:pPr>
      <w:rPr>
        <w:rFonts w:ascii="Wingdings" w:hAnsi="Wingdings" w:hint="default"/>
      </w:rPr>
    </w:lvl>
  </w:abstractNum>
  <w:abstractNum w:abstractNumId="15" w15:restartNumberingAfterBreak="0">
    <w:nsid w:val="527C1FA7"/>
    <w:multiLevelType w:val="multilevel"/>
    <w:tmpl w:val="CA56E90C"/>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dpis3"/>
      <w:lvlText w:val="%1.%2.%3"/>
      <w:lvlJc w:val="left"/>
      <w:pPr>
        <w:ind w:left="862" w:hanging="720"/>
      </w:pPr>
      <w:rPr>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OM-nadpis4"/>
      <w:lvlText w:val="%1.%2.%3.%4"/>
      <w:lvlJc w:val="left"/>
      <w:pPr>
        <w:ind w:left="864" w:hanging="864"/>
      </w:pPr>
      <w:rPr>
        <w:rFonts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b/>
      </w:rPr>
    </w:lvl>
    <w:lvl w:ilvl="5">
      <w:start w:val="1"/>
      <w:numFmt w:val="decimal"/>
      <w:pStyle w:val="OM-nadpis"/>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1425F77"/>
    <w:multiLevelType w:val="hybridMultilevel"/>
    <w:tmpl w:val="51E2D522"/>
    <w:lvl w:ilvl="0" w:tplc="6E6208DE">
      <w:start w:val="1"/>
      <w:numFmt w:val="bullet"/>
      <w:lvlText w:val=""/>
      <w:lvlJc w:val="left"/>
      <w:pPr>
        <w:ind w:left="720" w:hanging="360"/>
      </w:pPr>
      <w:rPr>
        <w:rFonts w:ascii="Symbol" w:hAnsi="Symbol" w:hint="default"/>
        <w:color w:val="595959" w:themeColor="text1" w:themeTint="A6"/>
      </w:rPr>
    </w:lvl>
    <w:lvl w:ilvl="1" w:tplc="7A7A4196" w:tentative="1">
      <w:start w:val="1"/>
      <w:numFmt w:val="bullet"/>
      <w:lvlText w:val="o"/>
      <w:lvlJc w:val="left"/>
      <w:pPr>
        <w:ind w:left="1440" w:hanging="360"/>
      </w:pPr>
      <w:rPr>
        <w:rFonts w:ascii="Courier New" w:hAnsi="Courier New" w:cs="Courier New" w:hint="default"/>
      </w:rPr>
    </w:lvl>
    <w:lvl w:ilvl="2" w:tplc="84C6459A" w:tentative="1">
      <w:start w:val="1"/>
      <w:numFmt w:val="bullet"/>
      <w:lvlText w:val=""/>
      <w:lvlJc w:val="left"/>
      <w:pPr>
        <w:ind w:left="2160" w:hanging="360"/>
      </w:pPr>
      <w:rPr>
        <w:rFonts w:ascii="Wingdings" w:hAnsi="Wingdings" w:hint="default"/>
      </w:rPr>
    </w:lvl>
    <w:lvl w:ilvl="3" w:tplc="8CC29250" w:tentative="1">
      <w:start w:val="1"/>
      <w:numFmt w:val="bullet"/>
      <w:lvlText w:val=""/>
      <w:lvlJc w:val="left"/>
      <w:pPr>
        <w:ind w:left="2880" w:hanging="360"/>
      </w:pPr>
      <w:rPr>
        <w:rFonts w:ascii="Symbol" w:hAnsi="Symbol" w:hint="default"/>
      </w:rPr>
    </w:lvl>
    <w:lvl w:ilvl="4" w:tplc="6DF6EA98">
      <w:start w:val="1"/>
      <w:numFmt w:val="bullet"/>
      <w:lvlText w:val="o"/>
      <w:lvlJc w:val="left"/>
      <w:pPr>
        <w:ind w:left="3600" w:hanging="360"/>
      </w:pPr>
      <w:rPr>
        <w:rFonts w:ascii="Courier New" w:hAnsi="Courier New" w:cs="Courier New" w:hint="default"/>
      </w:rPr>
    </w:lvl>
    <w:lvl w:ilvl="5" w:tplc="6A9C3C06" w:tentative="1">
      <w:start w:val="1"/>
      <w:numFmt w:val="bullet"/>
      <w:lvlText w:val=""/>
      <w:lvlJc w:val="left"/>
      <w:pPr>
        <w:ind w:left="4320" w:hanging="360"/>
      </w:pPr>
      <w:rPr>
        <w:rFonts w:ascii="Wingdings" w:hAnsi="Wingdings" w:hint="default"/>
      </w:rPr>
    </w:lvl>
    <w:lvl w:ilvl="6" w:tplc="465EF808" w:tentative="1">
      <w:start w:val="1"/>
      <w:numFmt w:val="bullet"/>
      <w:lvlText w:val=""/>
      <w:lvlJc w:val="left"/>
      <w:pPr>
        <w:ind w:left="5040" w:hanging="360"/>
      </w:pPr>
      <w:rPr>
        <w:rFonts w:ascii="Symbol" w:hAnsi="Symbol" w:hint="default"/>
      </w:rPr>
    </w:lvl>
    <w:lvl w:ilvl="7" w:tplc="0262B54C" w:tentative="1">
      <w:start w:val="1"/>
      <w:numFmt w:val="bullet"/>
      <w:lvlText w:val="o"/>
      <w:lvlJc w:val="left"/>
      <w:pPr>
        <w:ind w:left="5760" w:hanging="360"/>
      </w:pPr>
      <w:rPr>
        <w:rFonts w:ascii="Courier New" w:hAnsi="Courier New" w:cs="Courier New" w:hint="default"/>
      </w:rPr>
    </w:lvl>
    <w:lvl w:ilvl="8" w:tplc="A8EE1E6E" w:tentative="1">
      <w:start w:val="1"/>
      <w:numFmt w:val="bullet"/>
      <w:lvlText w:val=""/>
      <w:lvlJc w:val="left"/>
      <w:pPr>
        <w:ind w:left="6480" w:hanging="360"/>
      </w:pPr>
      <w:rPr>
        <w:rFonts w:ascii="Wingdings" w:hAnsi="Wingdings" w:hint="default"/>
      </w:rPr>
    </w:lvl>
  </w:abstractNum>
  <w:abstractNum w:abstractNumId="17" w15:restartNumberingAfterBreak="0">
    <w:nsid w:val="651C1FA0"/>
    <w:multiLevelType w:val="hybridMultilevel"/>
    <w:tmpl w:val="0F24341E"/>
    <w:lvl w:ilvl="0" w:tplc="6F8E0752">
      <w:start w:val="1"/>
      <w:numFmt w:val="upperLetter"/>
      <w:pStyle w:val="plohaVP-nadpis1"/>
      <w:lvlText w:val="%1."/>
      <w:lvlJc w:val="left"/>
      <w:pPr>
        <w:ind w:left="720" w:hanging="360"/>
      </w:pPr>
    </w:lvl>
    <w:lvl w:ilvl="1" w:tplc="457C1854" w:tentative="1">
      <w:start w:val="1"/>
      <w:numFmt w:val="lowerLetter"/>
      <w:lvlText w:val="%2."/>
      <w:lvlJc w:val="left"/>
      <w:pPr>
        <w:ind w:left="1440" w:hanging="360"/>
      </w:pPr>
    </w:lvl>
    <w:lvl w:ilvl="2" w:tplc="C18A4FE6" w:tentative="1">
      <w:start w:val="1"/>
      <w:numFmt w:val="lowerRoman"/>
      <w:lvlText w:val="%3."/>
      <w:lvlJc w:val="right"/>
      <w:pPr>
        <w:ind w:left="2160" w:hanging="180"/>
      </w:pPr>
    </w:lvl>
    <w:lvl w:ilvl="3" w:tplc="9CA02FFE" w:tentative="1">
      <w:start w:val="1"/>
      <w:numFmt w:val="decimal"/>
      <w:lvlText w:val="%4."/>
      <w:lvlJc w:val="left"/>
      <w:pPr>
        <w:ind w:left="2880" w:hanging="360"/>
      </w:pPr>
    </w:lvl>
    <w:lvl w:ilvl="4" w:tplc="A5321178" w:tentative="1">
      <w:start w:val="1"/>
      <w:numFmt w:val="lowerLetter"/>
      <w:lvlText w:val="%5."/>
      <w:lvlJc w:val="left"/>
      <w:pPr>
        <w:ind w:left="3600" w:hanging="360"/>
      </w:pPr>
    </w:lvl>
    <w:lvl w:ilvl="5" w:tplc="69C2A392" w:tentative="1">
      <w:start w:val="1"/>
      <w:numFmt w:val="lowerRoman"/>
      <w:lvlText w:val="%6."/>
      <w:lvlJc w:val="right"/>
      <w:pPr>
        <w:ind w:left="4320" w:hanging="180"/>
      </w:pPr>
    </w:lvl>
    <w:lvl w:ilvl="6" w:tplc="925417D8" w:tentative="1">
      <w:start w:val="1"/>
      <w:numFmt w:val="decimal"/>
      <w:lvlText w:val="%7."/>
      <w:lvlJc w:val="left"/>
      <w:pPr>
        <w:ind w:left="5040" w:hanging="360"/>
      </w:pPr>
    </w:lvl>
    <w:lvl w:ilvl="7" w:tplc="354287FA" w:tentative="1">
      <w:start w:val="1"/>
      <w:numFmt w:val="lowerLetter"/>
      <w:lvlText w:val="%8."/>
      <w:lvlJc w:val="left"/>
      <w:pPr>
        <w:ind w:left="5760" w:hanging="360"/>
      </w:pPr>
    </w:lvl>
    <w:lvl w:ilvl="8" w:tplc="EF80B96E" w:tentative="1">
      <w:start w:val="1"/>
      <w:numFmt w:val="lowerRoman"/>
      <w:lvlText w:val="%9."/>
      <w:lvlJc w:val="right"/>
      <w:pPr>
        <w:ind w:left="6480" w:hanging="180"/>
      </w:pPr>
    </w:lvl>
  </w:abstractNum>
  <w:abstractNum w:abstractNumId="18" w15:restartNumberingAfterBreak="0">
    <w:nsid w:val="69640052"/>
    <w:multiLevelType w:val="hybridMultilevel"/>
    <w:tmpl w:val="62F6CB46"/>
    <w:lvl w:ilvl="0" w:tplc="A086B422">
      <w:numFmt w:val="bullet"/>
      <w:lvlText w:val=""/>
      <w:lvlJc w:val="left"/>
      <w:pPr>
        <w:ind w:left="720" w:hanging="360"/>
      </w:pPr>
      <w:rPr>
        <w:rFonts w:ascii="Wingdings" w:eastAsiaTheme="minorHAnsi" w:hAnsi="Wingdings" w:cstheme="minorBidi" w:hint="default"/>
      </w:rPr>
    </w:lvl>
    <w:lvl w:ilvl="1" w:tplc="17D22CDE" w:tentative="1">
      <w:start w:val="1"/>
      <w:numFmt w:val="bullet"/>
      <w:lvlText w:val="o"/>
      <w:lvlJc w:val="left"/>
      <w:pPr>
        <w:ind w:left="1440" w:hanging="360"/>
      </w:pPr>
      <w:rPr>
        <w:rFonts w:ascii="Courier New" w:hAnsi="Courier New" w:cs="Courier New" w:hint="default"/>
      </w:rPr>
    </w:lvl>
    <w:lvl w:ilvl="2" w:tplc="CF020CB8" w:tentative="1">
      <w:start w:val="1"/>
      <w:numFmt w:val="bullet"/>
      <w:lvlText w:val=""/>
      <w:lvlJc w:val="left"/>
      <w:pPr>
        <w:ind w:left="2160" w:hanging="360"/>
      </w:pPr>
      <w:rPr>
        <w:rFonts w:ascii="Wingdings" w:hAnsi="Wingdings" w:hint="default"/>
      </w:rPr>
    </w:lvl>
    <w:lvl w:ilvl="3" w:tplc="6EE6114E" w:tentative="1">
      <w:start w:val="1"/>
      <w:numFmt w:val="bullet"/>
      <w:lvlText w:val=""/>
      <w:lvlJc w:val="left"/>
      <w:pPr>
        <w:ind w:left="2880" w:hanging="360"/>
      </w:pPr>
      <w:rPr>
        <w:rFonts w:ascii="Symbol" w:hAnsi="Symbol" w:hint="default"/>
      </w:rPr>
    </w:lvl>
    <w:lvl w:ilvl="4" w:tplc="39C2564C" w:tentative="1">
      <w:start w:val="1"/>
      <w:numFmt w:val="bullet"/>
      <w:lvlText w:val="o"/>
      <w:lvlJc w:val="left"/>
      <w:pPr>
        <w:ind w:left="3600" w:hanging="360"/>
      </w:pPr>
      <w:rPr>
        <w:rFonts w:ascii="Courier New" w:hAnsi="Courier New" w:cs="Courier New" w:hint="default"/>
      </w:rPr>
    </w:lvl>
    <w:lvl w:ilvl="5" w:tplc="2346B806" w:tentative="1">
      <w:start w:val="1"/>
      <w:numFmt w:val="bullet"/>
      <w:lvlText w:val=""/>
      <w:lvlJc w:val="left"/>
      <w:pPr>
        <w:ind w:left="4320" w:hanging="360"/>
      </w:pPr>
      <w:rPr>
        <w:rFonts w:ascii="Wingdings" w:hAnsi="Wingdings" w:hint="default"/>
      </w:rPr>
    </w:lvl>
    <w:lvl w:ilvl="6" w:tplc="4DE0F628" w:tentative="1">
      <w:start w:val="1"/>
      <w:numFmt w:val="bullet"/>
      <w:lvlText w:val=""/>
      <w:lvlJc w:val="left"/>
      <w:pPr>
        <w:ind w:left="5040" w:hanging="360"/>
      </w:pPr>
      <w:rPr>
        <w:rFonts w:ascii="Symbol" w:hAnsi="Symbol" w:hint="default"/>
      </w:rPr>
    </w:lvl>
    <w:lvl w:ilvl="7" w:tplc="0AC46512" w:tentative="1">
      <w:start w:val="1"/>
      <w:numFmt w:val="bullet"/>
      <w:lvlText w:val="o"/>
      <w:lvlJc w:val="left"/>
      <w:pPr>
        <w:ind w:left="5760" w:hanging="360"/>
      </w:pPr>
      <w:rPr>
        <w:rFonts w:ascii="Courier New" w:hAnsi="Courier New" w:cs="Courier New" w:hint="default"/>
      </w:rPr>
    </w:lvl>
    <w:lvl w:ilvl="8" w:tplc="C60C4F12" w:tentative="1">
      <w:start w:val="1"/>
      <w:numFmt w:val="bullet"/>
      <w:lvlText w:val=""/>
      <w:lvlJc w:val="left"/>
      <w:pPr>
        <w:ind w:left="6480" w:hanging="360"/>
      </w:pPr>
      <w:rPr>
        <w:rFonts w:ascii="Wingdings" w:hAnsi="Wingdings" w:hint="default"/>
      </w:rPr>
    </w:lvl>
  </w:abstractNum>
  <w:abstractNum w:abstractNumId="19" w15:restartNumberingAfterBreak="0">
    <w:nsid w:val="6ABD2056"/>
    <w:multiLevelType w:val="hybridMultilevel"/>
    <w:tmpl w:val="8FF8C9E6"/>
    <w:lvl w:ilvl="0" w:tplc="88B2BDB8">
      <w:start w:val="1"/>
      <w:numFmt w:val="lowerLetter"/>
      <w:lvlText w:val="%1)"/>
      <w:lvlJc w:val="left"/>
      <w:pPr>
        <w:ind w:left="720" w:hanging="360"/>
      </w:pPr>
    </w:lvl>
    <w:lvl w:ilvl="1" w:tplc="B13A6F2E" w:tentative="1">
      <w:start w:val="1"/>
      <w:numFmt w:val="lowerLetter"/>
      <w:lvlText w:val="%2."/>
      <w:lvlJc w:val="left"/>
      <w:pPr>
        <w:ind w:left="1440" w:hanging="360"/>
      </w:pPr>
    </w:lvl>
    <w:lvl w:ilvl="2" w:tplc="A54C0164" w:tentative="1">
      <w:start w:val="1"/>
      <w:numFmt w:val="lowerRoman"/>
      <w:lvlText w:val="%3."/>
      <w:lvlJc w:val="right"/>
      <w:pPr>
        <w:ind w:left="2160" w:hanging="180"/>
      </w:pPr>
    </w:lvl>
    <w:lvl w:ilvl="3" w:tplc="C32869F0" w:tentative="1">
      <w:start w:val="1"/>
      <w:numFmt w:val="decimal"/>
      <w:lvlText w:val="%4."/>
      <w:lvlJc w:val="left"/>
      <w:pPr>
        <w:ind w:left="2880" w:hanging="360"/>
      </w:pPr>
    </w:lvl>
    <w:lvl w:ilvl="4" w:tplc="AC887468" w:tentative="1">
      <w:start w:val="1"/>
      <w:numFmt w:val="lowerLetter"/>
      <w:lvlText w:val="%5."/>
      <w:lvlJc w:val="left"/>
      <w:pPr>
        <w:ind w:left="3600" w:hanging="360"/>
      </w:pPr>
    </w:lvl>
    <w:lvl w:ilvl="5" w:tplc="1CDA26B6" w:tentative="1">
      <w:start w:val="1"/>
      <w:numFmt w:val="lowerRoman"/>
      <w:lvlText w:val="%6."/>
      <w:lvlJc w:val="right"/>
      <w:pPr>
        <w:ind w:left="4320" w:hanging="180"/>
      </w:pPr>
    </w:lvl>
    <w:lvl w:ilvl="6" w:tplc="9D9CF22C" w:tentative="1">
      <w:start w:val="1"/>
      <w:numFmt w:val="decimal"/>
      <w:lvlText w:val="%7."/>
      <w:lvlJc w:val="left"/>
      <w:pPr>
        <w:ind w:left="5040" w:hanging="360"/>
      </w:pPr>
    </w:lvl>
    <w:lvl w:ilvl="7" w:tplc="0D42EFC8" w:tentative="1">
      <w:start w:val="1"/>
      <w:numFmt w:val="lowerLetter"/>
      <w:lvlText w:val="%8."/>
      <w:lvlJc w:val="left"/>
      <w:pPr>
        <w:ind w:left="5760" w:hanging="360"/>
      </w:pPr>
    </w:lvl>
    <w:lvl w:ilvl="8" w:tplc="77FC8C98" w:tentative="1">
      <w:start w:val="1"/>
      <w:numFmt w:val="lowerRoman"/>
      <w:lvlText w:val="%9."/>
      <w:lvlJc w:val="right"/>
      <w:pPr>
        <w:ind w:left="6480" w:hanging="180"/>
      </w:pPr>
    </w:lvl>
  </w:abstractNum>
  <w:abstractNum w:abstractNumId="20" w15:restartNumberingAfterBreak="0">
    <w:nsid w:val="701C23A1"/>
    <w:multiLevelType w:val="hybridMultilevel"/>
    <w:tmpl w:val="10B66100"/>
    <w:lvl w:ilvl="0" w:tplc="FBBC0B3C">
      <w:start w:val="1"/>
      <w:numFmt w:val="bullet"/>
      <w:lvlText w:val=""/>
      <w:lvlJc w:val="left"/>
      <w:pPr>
        <w:ind w:left="720" w:hanging="360"/>
      </w:pPr>
      <w:rPr>
        <w:rFonts w:ascii="Symbol" w:hAnsi="Symbol" w:hint="default"/>
      </w:rPr>
    </w:lvl>
    <w:lvl w:ilvl="1" w:tplc="3A0A0588">
      <w:start w:val="1"/>
      <w:numFmt w:val="bullet"/>
      <w:lvlText w:val="o"/>
      <w:lvlJc w:val="left"/>
      <w:pPr>
        <w:ind w:left="1440" w:hanging="360"/>
      </w:pPr>
      <w:rPr>
        <w:rFonts w:ascii="Courier New" w:hAnsi="Courier New" w:cs="Courier New" w:hint="default"/>
      </w:rPr>
    </w:lvl>
    <w:lvl w:ilvl="2" w:tplc="88300194" w:tentative="1">
      <w:start w:val="1"/>
      <w:numFmt w:val="bullet"/>
      <w:lvlText w:val=""/>
      <w:lvlJc w:val="left"/>
      <w:pPr>
        <w:ind w:left="2160" w:hanging="360"/>
      </w:pPr>
      <w:rPr>
        <w:rFonts w:ascii="Wingdings" w:hAnsi="Wingdings" w:hint="default"/>
      </w:rPr>
    </w:lvl>
    <w:lvl w:ilvl="3" w:tplc="C6B49FA0" w:tentative="1">
      <w:start w:val="1"/>
      <w:numFmt w:val="bullet"/>
      <w:lvlText w:val=""/>
      <w:lvlJc w:val="left"/>
      <w:pPr>
        <w:ind w:left="2880" w:hanging="360"/>
      </w:pPr>
      <w:rPr>
        <w:rFonts w:ascii="Symbol" w:hAnsi="Symbol" w:hint="default"/>
      </w:rPr>
    </w:lvl>
    <w:lvl w:ilvl="4" w:tplc="52805D6E" w:tentative="1">
      <w:start w:val="1"/>
      <w:numFmt w:val="bullet"/>
      <w:lvlText w:val="o"/>
      <w:lvlJc w:val="left"/>
      <w:pPr>
        <w:ind w:left="3600" w:hanging="360"/>
      </w:pPr>
      <w:rPr>
        <w:rFonts w:ascii="Courier New" w:hAnsi="Courier New" w:cs="Courier New" w:hint="default"/>
      </w:rPr>
    </w:lvl>
    <w:lvl w:ilvl="5" w:tplc="A4FCE814" w:tentative="1">
      <w:start w:val="1"/>
      <w:numFmt w:val="bullet"/>
      <w:lvlText w:val=""/>
      <w:lvlJc w:val="left"/>
      <w:pPr>
        <w:ind w:left="4320" w:hanging="360"/>
      </w:pPr>
      <w:rPr>
        <w:rFonts w:ascii="Wingdings" w:hAnsi="Wingdings" w:hint="default"/>
      </w:rPr>
    </w:lvl>
    <w:lvl w:ilvl="6" w:tplc="D4A42446" w:tentative="1">
      <w:start w:val="1"/>
      <w:numFmt w:val="bullet"/>
      <w:lvlText w:val=""/>
      <w:lvlJc w:val="left"/>
      <w:pPr>
        <w:ind w:left="5040" w:hanging="360"/>
      </w:pPr>
      <w:rPr>
        <w:rFonts w:ascii="Symbol" w:hAnsi="Symbol" w:hint="default"/>
      </w:rPr>
    </w:lvl>
    <w:lvl w:ilvl="7" w:tplc="F35EEEE4" w:tentative="1">
      <w:start w:val="1"/>
      <w:numFmt w:val="bullet"/>
      <w:lvlText w:val="o"/>
      <w:lvlJc w:val="left"/>
      <w:pPr>
        <w:ind w:left="5760" w:hanging="360"/>
      </w:pPr>
      <w:rPr>
        <w:rFonts w:ascii="Courier New" w:hAnsi="Courier New" w:cs="Courier New" w:hint="default"/>
      </w:rPr>
    </w:lvl>
    <w:lvl w:ilvl="8" w:tplc="2C96FA28" w:tentative="1">
      <w:start w:val="1"/>
      <w:numFmt w:val="bullet"/>
      <w:lvlText w:val=""/>
      <w:lvlJc w:val="left"/>
      <w:pPr>
        <w:ind w:left="6480" w:hanging="360"/>
      </w:pPr>
      <w:rPr>
        <w:rFonts w:ascii="Wingdings" w:hAnsi="Wingdings" w:hint="default"/>
      </w:rPr>
    </w:lvl>
  </w:abstractNum>
  <w:abstractNum w:abstractNumId="21" w15:restartNumberingAfterBreak="0">
    <w:nsid w:val="70A531F1"/>
    <w:multiLevelType w:val="hybridMultilevel"/>
    <w:tmpl w:val="4D9233F2"/>
    <w:lvl w:ilvl="0" w:tplc="71985CBA">
      <w:start w:val="1"/>
      <w:numFmt w:val="bullet"/>
      <w:lvlText w:val=""/>
      <w:lvlJc w:val="left"/>
      <w:pPr>
        <w:ind w:left="720" w:hanging="360"/>
      </w:pPr>
      <w:rPr>
        <w:rFonts w:ascii="Symbol" w:hAnsi="Symbol" w:hint="default"/>
      </w:rPr>
    </w:lvl>
    <w:lvl w:ilvl="1" w:tplc="C83AED4C">
      <w:start w:val="1"/>
      <w:numFmt w:val="bullet"/>
      <w:lvlText w:val="o"/>
      <w:lvlJc w:val="left"/>
      <w:pPr>
        <w:ind w:left="1440" w:hanging="360"/>
      </w:pPr>
      <w:rPr>
        <w:rFonts w:ascii="Courier New" w:hAnsi="Courier New" w:cs="Courier New" w:hint="default"/>
      </w:rPr>
    </w:lvl>
    <w:lvl w:ilvl="2" w:tplc="31CE1894" w:tentative="1">
      <w:start w:val="1"/>
      <w:numFmt w:val="bullet"/>
      <w:lvlText w:val=""/>
      <w:lvlJc w:val="left"/>
      <w:pPr>
        <w:ind w:left="2160" w:hanging="360"/>
      </w:pPr>
      <w:rPr>
        <w:rFonts w:ascii="Wingdings" w:hAnsi="Wingdings" w:hint="default"/>
      </w:rPr>
    </w:lvl>
    <w:lvl w:ilvl="3" w:tplc="3056D934" w:tentative="1">
      <w:start w:val="1"/>
      <w:numFmt w:val="bullet"/>
      <w:lvlText w:val=""/>
      <w:lvlJc w:val="left"/>
      <w:pPr>
        <w:ind w:left="2880" w:hanging="360"/>
      </w:pPr>
      <w:rPr>
        <w:rFonts w:ascii="Symbol" w:hAnsi="Symbol" w:hint="default"/>
      </w:rPr>
    </w:lvl>
    <w:lvl w:ilvl="4" w:tplc="62A82932" w:tentative="1">
      <w:start w:val="1"/>
      <w:numFmt w:val="bullet"/>
      <w:lvlText w:val="o"/>
      <w:lvlJc w:val="left"/>
      <w:pPr>
        <w:ind w:left="3600" w:hanging="360"/>
      </w:pPr>
      <w:rPr>
        <w:rFonts w:ascii="Courier New" w:hAnsi="Courier New" w:cs="Courier New" w:hint="default"/>
      </w:rPr>
    </w:lvl>
    <w:lvl w:ilvl="5" w:tplc="E236CFEA" w:tentative="1">
      <w:start w:val="1"/>
      <w:numFmt w:val="bullet"/>
      <w:lvlText w:val=""/>
      <w:lvlJc w:val="left"/>
      <w:pPr>
        <w:ind w:left="4320" w:hanging="360"/>
      </w:pPr>
      <w:rPr>
        <w:rFonts w:ascii="Wingdings" w:hAnsi="Wingdings" w:hint="default"/>
      </w:rPr>
    </w:lvl>
    <w:lvl w:ilvl="6" w:tplc="DBF61A52" w:tentative="1">
      <w:start w:val="1"/>
      <w:numFmt w:val="bullet"/>
      <w:lvlText w:val=""/>
      <w:lvlJc w:val="left"/>
      <w:pPr>
        <w:ind w:left="5040" w:hanging="360"/>
      </w:pPr>
      <w:rPr>
        <w:rFonts w:ascii="Symbol" w:hAnsi="Symbol" w:hint="default"/>
      </w:rPr>
    </w:lvl>
    <w:lvl w:ilvl="7" w:tplc="4462F0FE" w:tentative="1">
      <w:start w:val="1"/>
      <w:numFmt w:val="bullet"/>
      <w:lvlText w:val="o"/>
      <w:lvlJc w:val="left"/>
      <w:pPr>
        <w:ind w:left="5760" w:hanging="360"/>
      </w:pPr>
      <w:rPr>
        <w:rFonts w:ascii="Courier New" w:hAnsi="Courier New" w:cs="Courier New" w:hint="default"/>
      </w:rPr>
    </w:lvl>
    <w:lvl w:ilvl="8" w:tplc="056C5AB8" w:tentative="1">
      <w:start w:val="1"/>
      <w:numFmt w:val="bullet"/>
      <w:lvlText w:val=""/>
      <w:lvlJc w:val="left"/>
      <w:pPr>
        <w:ind w:left="6480" w:hanging="360"/>
      </w:pPr>
      <w:rPr>
        <w:rFonts w:ascii="Wingdings" w:hAnsi="Wingdings" w:hint="default"/>
      </w:rPr>
    </w:lvl>
  </w:abstractNum>
  <w:abstractNum w:abstractNumId="22" w15:restartNumberingAfterBreak="0">
    <w:nsid w:val="718670D3"/>
    <w:multiLevelType w:val="hybridMultilevel"/>
    <w:tmpl w:val="B69038D6"/>
    <w:lvl w:ilvl="0" w:tplc="9EE2E86A">
      <w:start w:val="1"/>
      <w:numFmt w:val="upperRoman"/>
      <w:lvlText w:val="%1)"/>
      <w:lvlJc w:val="left"/>
      <w:pPr>
        <w:ind w:left="1080" w:hanging="720"/>
      </w:pPr>
      <w:rPr>
        <w:rFonts w:hint="default"/>
        <w:sz w:val="20"/>
      </w:rPr>
    </w:lvl>
    <w:lvl w:ilvl="1" w:tplc="BB9CD838" w:tentative="1">
      <w:start w:val="1"/>
      <w:numFmt w:val="lowerLetter"/>
      <w:lvlText w:val="%2."/>
      <w:lvlJc w:val="left"/>
      <w:pPr>
        <w:ind w:left="1440" w:hanging="360"/>
      </w:pPr>
    </w:lvl>
    <w:lvl w:ilvl="2" w:tplc="8E56075C" w:tentative="1">
      <w:start w:val="1"/>
      <w:numFmt w:val="lowerRoman"/>
      <w:lvlText w:val="%3."/>
      <w:lvlJc w:val="right"/>
      <w:pPr>
        <w:ind w:left="2160" w:hanging="180"/>
      </w:pPr>
    </w:lvl>
    <w:lvl w:ilvl="3" w:tplc="97E228AA" w:tentative="1">
      <w:start w:val="1"/>
      <w:numFmt w:val="decimal"/>
      <w:lvlText w:val="%4."/>
      <w:lvlJc w:val="left"/>
      <w:pPr>
        <w:ind w:left="2880" w:hanging="360"/>
      </w:pPr>
    </w:lvl>
    <w:lvl w:ilvl="4" w:tplc="840C65F4" w:tentative="1">
      <w:start w:val="1"/>
      <w:numFmt w:val="lowerLetter"/>
      <w:lvlText w:val="%5."/>
      <w:lvlJc w:val="left"/>
      <w:pPr>
        <w:ind w:left="3600" w:hanging="360"/>
      </w:pPr>
    </w:lvl>
    <w:lvl w:ilvl="5" w:tplc="CA16370C" w:tentative="1">
      <w:start w:val="1"/>
      <w:numFmt w:val="lowerRoman"/>
      <w:lvlText w:val="%6."/>
      <w:lvlJc w:val="right"/>
      <w:pPr>
        <w:ind w:left="4320" w:hanging="180"/>
      </w:pPr>
    </w:lvl>
    <w:lvl w:ilvl="6" w:tplc="1AB2A824" w:tentative="1">
      <w:start w:val="1"/>
      <w:numFmt w:val="decimal"/>
      <w:lvlText w:val="%7."/>
      <w:lvlJc w:val="left"/>
      <w:pPr>
        <w:ind w:left="5040" w:hanging="360"/>
      </w:pPr>
    </w:lvl>
    <w:lvl w:ilvl="7" w:tplc="117AE986" w:tentative="1">
      <w:start w:val="1"/>
      <w:numFmt w:val="lowerLetter"/>
      <w:lvlText w:val="%8."/>
      <w:lvlJc w:val="left"/>
      <w:pPr>
        <w:ind w:left="5760" w:hanging="360"/>
      </w:pPr>
    </w:lvl>
    <w:lvl w:ilvl="8" w:tplc="752EE2C8" w:tentative="1">
      <w:start w:val="1"/>
      <w:numFmt w:val="lowerRoman"/>
      <w:lvlText w:val="%9."/>
      <w:lvlJc w:val="right"/>
      <w:pPr>
        <w:ind w:left="6480" w:hanging="180"/>
      </w:pPr>
    </w:lvl>
  </w:abstractNum>
  <w:abstractNum w:abstractNumId="23" w15:restartNumberingAfterBreak="0">
    <w:nsid w:val="7907606E"/>
    <w:multiLevelType w:val="multilevel"/>
    <w:tmpl w:val="2904D358"/>
    <w:lvl w:ilvl="0">
      <w:start w:val="1"/>
      <w:numFmt w:val="bullet"/>
      <w:lvlText w:val=""/>
      <w:lvlJc w:val="left"/>
      <w:pPr>
        <w:ind w:left="432" w:hanging="432"/>
      </w:pPr>
      <w:rPr>
        <w:rFonts w:ascii="Symbol" w:hAnsi="Symbol" w:hint="default"/>
      </w:rPr>
    </w:lvl>
    <w:lvl w:ilvl="1">
      <w:start w:val="1"/>
      <w:numFmt w:val="decimal"/>
      <w:lvlText w:val="%1.%2"/>
      <w:lvlJc w:val="left"/>
      <w:pPr>
        <w:ind w:left="737" w:hanging="737"/>
      </w:pPr>
      <w:rPr>
        <w:rFonts w:hint="default"/>
      </w:rPr>
    </w:lvl>
    <w:lvl w:ilvl="2">
      <w:start w:val="1"/>
      <w:numFmt w:val="decimal"/>
      <w:lvlText w:val="%1.%2.%3"/>
      <w:lvlJc w:val="left"/>
      <w:pPr>
        <w:ind w:left="862" w:hanging="720"/>
      </w:pPr>
      <w:rPr>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C5807CA"/>
    <w:multiLevelType w:val="hybridMultilevel"/>
    <w:tmpl w:val="1FEC0A18"/>
    <w:lvl w:ilvl="0" w:tplc="7F9E6896">
      <w:start w:val="1"/>
      <w:numFmt w:val="bullet"/>
      <w:lvlText w:val=""/>
      <w:lvlJc w:val="left"/>
      <w:pPr>
        <w:ind w:left="1080" w:hanging="360"/>
      </w:pPr>
      <w:rPr>
        <w:rFonts w:ascii="Symbol" w:hAnsi="Symbol" w:hint="default"/>
      </w:rPr>
    </w:lvl>
    <w:lvl w:ilvl="1" w:tplc="D5DAC064" w:tentative="1">
      <w:start w:val="1"/>
      <w:numFmt w:val="bullet"/>
      <w:lvlText w:val="o"/>
      <w:lvlJc w:val="left"/>
      <w:pPr>
        <w:ind w:left="1800" w:hanging="360"/>
      </w:pPr>
      <w:rPr>
        <w:rFonts w:ascii="Courier New" w:hAnsi="Courier New" w:cs="Courier New" w:hint="default"/>
      </w:rPr>
    </w:lvl>
    <w:lvl w:ilvl="2" w:tplc="4E1E437A" w:tentative="1">
      <w:start w:val="1"/>
      <w:numFmt w:val="bullet"/>
      <w:lvlText w:val=""/>
      <w:lvlJc w:val="left"/>
      <w:pPr>
        <w:ind w:left="2520" w:hanging="360"/>
      </w:pPr>
      <w:rPr>
        <w:rFonts w:ascii="Wingdings" w:hAnsi="Wingdings" w:hint="default"/>
      </w:rPr>
    </w:lvl>
    <w:lvl w:ilvl="3" w:tplc="ED4C3778" w:tentative="1">
      <w:start w:val="1"/>
      <w:numFmt w:val="bullet"/>
      <w:lvlText w:val=""/>
      <w:lvlJc w:val="left"/>
      <w:pPr>
        <w:ind w:left="3240" w:hanging="360"/>
      </w:pPr>
      <w:rPr>
        <w:rFonts w:ascii="Symbol" w:hAnsi="Symbol" w:hint="default"/>
      </w:rPr>
    </w:lvl>
    <w:lvl w:ilvl="4" w:tplc="783C01A8" w:tentative="1">
      <w:start w:val="1"/>
      <w:numFmt w:val="bullet"/>
      <w:lvlText w:val="o"/>
      <w:lvlJc w:val="left"/>
      <w:pPr>
        <w:ind w:left="3960" w:hanging="360"/>
      </w:pPr>
      <w:rPr>
        <w:rFonts w:ascii="Courier New" w:hAnsi="Courier New" w:cs="Courier New" w:hint="default"/>
      </w:rPr>
    </w:lvl>
    <w:lvl w:ilvl="5" w:tplc="D3AC27E2" w:tentative="1">
      <w:start w:val="1"/>
      <w:numFmt w:val="bullet"/>
      <w:lvlText w:val=""/>
      <w:lvlJc w:val="left"/>
      <w:pPr>
        <w:ind w:left="4680" w:hanging="360"/>
      </w:pPr>
      <w:rPr>
        <w:rFonts w:ascii="Wingdings" w:hAnsi="Wingdings" w:hint="default"/>
      </w:rPr>
    </w:lvl>
    <w:lvl w:ilvl="6" w:tplc="4C6EAC72" w:tentative="1">
      <w:start w:val="1"/>
      <w:numFmt w:val="bullet"/>
      <w:lvlText w:val=""/>
      <w:lvlJc w:val="left"/>
      <w:pPr>
        <w:ind w:left="5400" w:hanging="360"/>
      </w:pPr>
      <w:rPr>
        <w:rFonts w:ascii="Symbol" w:hAnsi="Symbol" w:hint="default"/>
      </w:rPr>
    </w:lvl>
    <w:lvl w:ilvl="7" w:tplc="27C2A926" w:tentative="1">
      <w:start w:val="1"/>
      <w:numFmt w:val="bullet"/>
      <w:lvlText w:val="o"/>
      <w:lvlJc w:val="left"/>
      <w:pPr>
        <w:ind w:left="6120" w:hanging="360"/>
      </w:pPr>
      <w:rPr>
        <w:rFonts w:ascii="Courier New" w:hAnsi="Courier New" w:cs="Courier New" w:hint="default"/>
      </w:rPr>
    </w:lvl>
    <w:lvl w:ilvl="8" w:tplc="BFB2C2DC" w:tentative="1">
      <w:start w:val="1"/>
      <w:numFmt w:val="bullet"/>
      <w:lvlText w:val=""/>
      <w:lvlJc w:val="left"/>
      <w:pPr>
        <w:ind w:left="6840" w:hanging="360"/>
      </w:pPr>
      <w:rPr>
        <w:rFonts w:ascii="Wingdings" w:hAnsi="Wingdings" w:hint="default"/>
      </w:rPr>
    </w:lvl>
  </w:abstractNum>
  <w:num w:numId="1" w16cid:durableId="824593977">
    <w:abstractNumId w:val="19"/>
  </w:num>
  <w:num w:numId="2" w16cid:durableId="1846554966">
    <w:abstractNumId w:val="17"/>
  </w:num>
  <w:num w:numId="3" w16cid:durableId="2050177556">
    <w:abstractNumId w:val="4"/>
  </w:num>
  <w:num w:numId="4" w16cid:durableId="973675358">
    <w:abstractNumId w:val="15"/>
  </w:num>
  <w:num w:numId="5" w16cid:durableId="1634284673">
    <w:abstractNumId w:val="7"/>
  </w:num>
  <w:num w:numId="6" w16cid:durableId="566258004">
    <w:abstractNumId w:val="24"/>
  </w:num>
  <w:num w:numId="7" w16cid:durableId="1127354287">
    <w:abstractNumId w:val="13"/>
  </w:num>
  <w:num w:numId="8" w16cid:durableId="1874877229">
    <w:abstractNumId w:val="2"/>
  </w:num>
  <w:num w:numId="9" w16cid:durableId="1649557879">
    <w:abstractNumId w:val="21"/>
  </w:num>
  <w:num w:numId="10" w16cid:durableId="2094349608">
    <w:abstractNumId w:val="5"/>
  </w:num>
  <w:num w:numId="11" w16cid:durableId="1044449326">
    <w:abstractNumId w:val="1"/>
  </w:num>
  <w:num w:numId="12" w16cid:durableId="1126193715">
    <w:abstractNumId w:val="23"/>
  </w:num>
  <w:num w:numId="13" w16cid:durableId="642271752">
    <w:abstractNumId w:val="12"/>
  </w:num>
  <w:num w:numId="14" w16cid:durableId="1993102299">
    <w:abstractNumId w:val="3"/>
  </w:num>
  <w:num w:numId="15" w16cid:durableId="1101805710">
    <w:abstractNumId w:val="14"/>
  </w:num>
  <w:num w:numId="16" w16cid:durableId="1899128356">
    <w:abstractNumId w:val="9"/>
  </w:num>
  <w:num w:numId="17" w16cid:durableId="1664317102">
    <w:abstractNumId w:val="8"/>
  </w:num>
  <w:num w:numId="18" w16cid:durableId="628434232">
    <w:abstractNumId w:val="11"/>
  </w:num>
  <w:num w:numId="19" w16cid:durableId="494030754">
    <w:abstractNumId w:val="16"/>
  </w:num>
  <w:num w:numId="20" w16cid:durableId="508643339">
    <w:abstractNumId w:val="20"/>
  </w:num>
  <w:num w:numId="21" w16cid:durableId="413741900">
    <w:abstractNumId w:val="0"/>
  </w:num>
  <w:num w:numId="22" w16cid:durableId="1967084256">
    <w:abstractNumId w:val="22"/>
  </w:num>
  <w:num w:numId="23" w16cid:durableId="292709312">
    <w:abstractNumId w:val="15"/>
  </w:num>
  <w:num w:numId="24" w16cid:durableId="739981043">
    <w:abstractNumId w:val="6"/>
  </w:num>
  <w:num w:numId="25" w16cid:durableId="575937523">
    <w:abstractNumId w:val="18"/>
  </w:num>
  <w:num w:numId="26" w16cid:durableId="20885733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AA"/>
    <w:rsid w:val="00002CF1"/>
    <w:rsid w:val="00004765"/>
    <w:rsid w:val="00005C02"/>
    <w:rsid w:val="00016615"/>
    <w:rsid w:val="000211D3"/>
    <w:rsid w:val="00025F3C"/>
    <w:rsid w:val="00031470"/>
    <w:rsid w:val="00050EB7"/>
    <w:rsid w:val="00070F10"/>
    <w:rsid w:val="00081E12"/>
    <w:rsid w:val="00086361"/>
    <w:rsid w:val="0009170E"/>
    <w:rsid w:val="000B003C"/>
    <w:rsid w:val="000D6CA8"/>
    <w:rsid w:val="000E0AD3"/>
    <w:rsid w:val="000F0A8A"/>
    <w:rsid w:val="00103E37"/>
    <w:rsid w:val="00106F0D"/>
    <w:rsid w:val="001158EE"/>
    <w:rsid w:val="00116366"/>
    <w:rsid w:val="001421C7"/>
    <w:rsid w:val="00142D52"/>
    <w:rsid w:val="001533F1"/>
    <w:rsid w:val="00154AFA"/>
    <w:rsid w:val="001636B3"/>
    <w:rsid w:val="001751EB"/>
    <w:rsid w:val="00191280"/>
    <w:rsid w:val="001A1796"/>
    <w:rsid w:val="001A24F2"/>
    <w:rsid w:val="001B4659"/>
    <w:rsid w:val="001B5E83"/>
    <w:rsid w:val="001B70C4"/>
    <w:rsid w:val="001C018A"/>
    <w:rsid w:val="001C3DCB"/>
    <w:rsid w:val="001C653B"/>
    <w:rsid w:val="001C78B6"/>
    <w:rsid w:val="001E0437"/>
    <w:rsid w:val="001E2668"/>
    <w:rsid w:val="001F0E7E"/>
    <w:rsid w:val="00220B38"/>
    <w:rsid w:val="00222D3D"/>
    <w:rsid w:val="00222D8C"/>
    <w:rsid w:val="002278FB"/>
    <w:rsid w:val="00231D10"/>
    <w:rsid w:val="00243339"/>
    <w:rsid w:val="002548A1"/>
    <w:rsid w:val="00274807"/>
    <w:rsid w:val="002A5C16"/>
    <w:rsid w:val="002B0CAC"/>
    <w:rsid w:val="002D1D26"/>
    <w:rsid w:val="002E14C1"/>
    <w:rsid w:val="002E777F"/>
    <w:rsid w:val="002F599D"/>
    <w:rsid w:val="002F6133"/>
    <w:rsid w:val="00301BBD"/>
    <w:rsid w:val="003164AA"/>
    <w:rsid w:val="00321C51"/>
    <w:rsid w:val="003272BA"/>
    <w:rsid w:val="00331D3C"/>
    <w:rsid w:val="00335246"/>
    <w:rsid w:val="00351E45"/>
    <w:rsid w:val="0037268E"/>
    <w:rsid w:val="003922BB"/>
    <w:rsid w:val="0039286E"/>
    <w:rsid w:val="003A3F24"/>
    <w:rsid w:val="003A51B3"/>
    <w:rsid w:val="003E625D"/>
    <w:rsid w:val="0040196C"/>
    <w:rsid w:val="00412538"/>
    <w:rsid w:val="004228A2"/>
    <w:rsid w:val="00422A70"/>
    <w:rsid w:val="00445202"/>
    <w:rsid w:val="00452B0C"/>
    <w:rsid w:val="0045353C"/>
    <w:rsid w:val="0045758D"/>
    <w:rsid w:val="00462410"/>
    <w:rsid w:val="0046600D"/>
    <w:rsid w:val="004729DC"/>
    <w:rsid w:val="004918AB"/>
    <w:rsid w:val="004B62EF"/>
    <w:rsid w:val="00503619"/>
    <w:rsid w:val="00513A47"/>
    <w:rsid w:val="005141BA"/>
    <w:rsid w:val="00514CBB"/>
    <w:rsid w:val="00527158"/>
    <w:rsid w:val="00565032"/>
    <w:rsid w:val="0058248E"/>
    <w:rsid w:val="00597027"/>
    <w:rsid w:val="00597B91"/>
    <w:rsid w:val="005B09DD"/>
    <w:rsid w:val="005D7531"/>
    <w:rsid w:val="005F047D"/>
    <w:rsid w:val="005F49A6"/>
    <w:rsid w:val="005F5534"/>
    <w:rsid w:val="005F7A81"/>
    <w:rsid w:val="006112F3"/>
    <w:rsid w:val="006148F1"/>
    <w:rsid w:val="006210BC"/>
    <w:rsid w:val="0062282B"/>
    <w:rsid w:val="00625F79"/>
    <w:rsid w:val="00627FDB"/>
    <w:rsid w:val="00633D6E"/>
    <w:rsid w:val="00634F12"/>
    <w:rsid w:val="006465D5"/>
    <w:rsid w:val="006844C8"/>
    <w:rsid w:val="00691932"/>
    <w:rsid w:val="00693C93"/>
    <w:rsid w:val="006B0510"/>
    <w:rsid w:val="006B58C4"/>
    <w:rsid w:val="006B6815"/>
    <w:rsid w:val="006E0E56"/>
    <w:rsid w:val="006E1FEB"/>
    <w:rsid w:val="006F5AC0"/>
    <w:rsid w:val="00701902"/>
    <w:rsid w:val="00721FF8"/>
    <w:rsid w:val="00751C4B"/>
    <w:rsid w:val="00756BC5"/>
    <w:rsid w:val="007622C1"/>
    <w:rsid w:val="0076385E"/>
    <w:rsid w:val="00766305"/>
    <w:rsid w:val="00770B66"/>
    <w:rsid w:val="00773452"/>
    <w:rsid w:val="00782B9B"/>
    <w:rsid w:val="00797F2A"/>
    <w:rsid w:val="007A5045"/>
    <w:rsid w:val="007B1984"/>
    <w:rsid w:val="007B5827"/>
    <w:rsid w:val="007C3613"/>
    <w:rsid w:val="007D3F19"/>
    <w:rsid w:val="00810690"/>
    <w:rsid w:val="00812852"/>
    <w:rsid w:val="00816A3D"/>
    <w:rsid w:val="00824108"/>
    <w:rsid w:val="0082524D"/>
    <w:rsid w:val="00853038"/>
    <w:rsid w:val="008633DC"/>
    <w:rsid w:val="00875005"/>
    <w:rsid w:val="008750B0"/>
    <w:rsid w:val="00883180"/>
    <w:rsid w:val="00886943"/>
    <w:rsid w:val="00892C7B"/>
    <w:rsid w:val="0089489C"/>
    <w:rsid w:val="008D6C34"/>
    <w:rsid w:val="008D7299"/>
    <w:rsid w:val="00927A67"/>
    <w:rsid w:val="0093586B"/>
    <w:rsid w:val="00937B9C"/>
    <w:rsid w:val="009511BA"/>
    <w:rsid w:val="00983A9B"/>
    <w:rsid w:val="009A1DA5"/>
    <w:rsid w:val="009A543C"/>
    <w:rsid w:val="009D4498"/>
    <w:rsid w:val="00A02BA7"/>
    <w:rsid w:val="00A04D65"/>
    <w:rsid w:val="00A17250"/>
    <w:rsid w:val="00A26014"/>
    <w:rsid w:val="00A3306E"/>
    <w:rsid w:val="00A35D57"/>
    <w:rsid w:val="00A6463D"/>
    <w:rsid w:val="00A65FCE"/>
    <w:rsid w:val="00A81E6B"/>
    <w:rsid w:val="00A839BC"/>
    <w:rsid w:val="00A92DEC"/>
    <w:rsid w:val="00A92F12"/>
    <w:rsid w:val="00A95113"/>
    <w:rsid w:val="00AB0C11"/>
    <w:rsid w:val="00AB10A8"/>
    <w:rsid w:val="00AB66E5"/>
    <w:rsid w:val="00AC0601"/>
    <w:rsid w:val="00AC197D"/>
    <w:rsid w:val="00AF1E92"/>
    <w:rsid w:val="00AF2F41"/>
    <w:rsid w:val="00B0369B"/>
    <w:rsid w:val="00B072E1"/>
    <w:rsid w:val="00B26DBF"/>
    <w:rsid w:val="00B31D6A"/>
    <w:rsid w:val="00B44ACD"/>
    <w:rsid w:val="00B54D7C"/>
    <w:rsid w:val="00B67078"/>
    <w:rsid w:val="00B70E93"/>
    <w:rsid w:val="00B9404C"/>
    <w:rsid w:val="00B955EF"/>
    <w:rsid w:val="00BA4153"/>
    <w:rsid w:val="00BD5D25"/>
    <w:rsid w:val="00C1333A"/>
    <w:rsid w:val="00C135B3"/>
    <w:rsid w:val="00C155F9"/>
    <w:rsid w:val="00C34196"/>
    <w:rsid w:val="00C35FB4"/>
    <w:rsid w:val="00C65779"/>
    <w:rsid w:val="00C672CF"/>
    <w:rsid w:val="00C719B3"/>
    <w:rsid w:val="00C9463F"/>
    <w:rsid w:val="00C95BDA"/>
    <w:rsid w:val="00CB11D6"/>
    <w:rsid w:val="00CB579F"/>
    <w:rsid w:val="00CC053F"/>
    <w:rsid w:val="00CE0130"/>
    <w:rsid w:val="00CE630D"/>
    <w:rsid w:val="00CE7ACE"/>
    <w:rsid w:val="00D01414"/>
    <w:rsid w:val="00D16D5E"/>
    <w:rsid w:val="00D2333D"/>
    <w:rsid w:val="00D34224"/>
    <w:rsid w:val="00D35236"/>
    <w:rsid w:val="00D37007"/>
    <w:rsid w:val="00D46E94"/>
    <w:rsid w:val="00D64C07"/>
    <w:rsid w:val="00D75D03"/>
    <w:rsid w:val="00D772D0"/>
    <w:rsid w:val="00D77DFF"/>
    <w:rsid w:val="00D94B89"/>
    <w:rsid w:val="00DB5723"/>
    <w:rsid w:val="00DB6C33"/>
    <w:rsid w:val="00DC0355"/>
    <w:rsid w:val="00DC0995"/>
    <w:rsid w:val="00DD1168"/>
    <w:rsid w:val="00DD3238"/>
    <w:rsid w:val="00DF163F"/>
    <w:rsid w:val="00DF3993"/>
    <w:rsid w:val="00DF4956"/>
    <w:rsid w:val="00DF57AC"/>
    <w:rsid w:val="00DF6F40"/>
    <w:rsid w:val="00E32D15"/>
    <w:rsid w:val="00E363E9"/>
    <w:rsid w:val="00E52B7A"/>
    <w:rsid w:val="00E5791B"/>
    <w:rsid w:val="00E670F1"/>
    <w:rsid w:val="00E75290"/>
    <w:rsid w:val="00E83131"/>
    <w:rsid w:val="00E95483"/>
    <w:rsid w:val="00E97175"/>
    <w:rsid w:val="00EA389E"/>
    <w:rsid w:val="00EA7FA5"/>
    <w:rsid w:val="00EB2813"/>
    <w:rsid w:val="00EB5039"/>
    <w:rsid w:val="00EB6113"/>
    <w:rsid w:val="00EE0212"/>
    <w:rsid w:val="00EE799D"/>
    <w:rsid w:val="00EF4A81"/>
    <w:rsid w:val="00EF768C"/>
    <w:rsid w:val="00F14FE9"/>
    <w:rsid w:val="00F174B4"/>
    <w:rsid w:val="00F47FB9"/>
    <w:rsid w:val="00F63366"/>
    <w:rsid w:val="00F66F93"/>
    <w:rsid w:val="00F72A11"/>
    <w:rsid w:val="00F77625"/>
    <w:rsid w:val="00FA127F"/>
    <w:rsid w:val="00FB7E33"/>
    <w:rsid w:val="00FC459E"/>
    <w:rsid w:val="00FD47B5"/>
    <w:rsid w:val="00FE36DD"/>
    <w:rsid w:val="00FE7A81"/>
    <w:rsid w:val="00FF03C2"/>
    <w:rsid w:val="00FF0D79"/>
    <w:rsid w:val="00FF536B"/>
    <w:rsid w:val="00FF6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49100"/>
  <w15:chartTrackingRefBased/>
  <w15:docId w15:val="{2FF468D0-72B0-40B6-94D3-6F5BD05C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170E"/>
    <w:rPr>
      <w:rFonts w:ascii="Verdana" w:hAnsi="Verdana"/>
      <w:sz w:val="20"/>
    </w:rPr>
  </w:style>
  <w:style w:type="paragraph" w:styleId="Nadpis1">
    <w:name w:val="heading 1"/>
    <w:basedOn w:val="Normln"/>
    <w:next w:val="Normln"/>
    <w:link w:val="Nadpis1Char"/>
    <w:uiPriority w:val="9"/>
    <w:qFormat/>
    <w:rsid w:val="00EE79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EE79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DC03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DC035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DC035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776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7625"/>
  </w:style>
  <w:style w:type="paragraph" w:styleId="Zpat">
    <w:name w:val="footer"/>
    <w:basedOn w:val="Normln"/>
    <w:link w:val="ZpatChar"/>
    <w:uiPriority w:val="99"/>
    <w:unhideWhenUsed/>
    <w:rsid w:val="00F77625"/>
    <w:pPr>
      <w:tabs>
        <w:tab w:val="center" w:pos="4536"/>
        <w:tab w:val="right" w:pos="9072"/>
      </w:tabs>
      <w:spacing w:after="0" w:line="240" w:lineRule="auto"/>
    </w:pPr>
  </w:style>
  <w:style w:type="character" w:customStyle="1" w:styleId="ZpatChar">
    <w:name w:val="Zápatí Char"/>
    <w:basedOn w:val="Standardnpsmoodstavce"/>
    <w:link w:val="Zpat"/>
    <w:uiPriority w:val="99"/>
    <w:rsid w:val="00F77625"/>
  </w:style>
  <w:style w:type="paragraph" w:customStyle="1" w:styleId="plohaVP-nadpis1">
    <w:name w:val="příloha_VP - nadpis 1"/>
    <w:basedOn w:val="Nadpis1"/>
    <w:next w:val="Normln"/>
    <w:qFormat/>
    <w:rsid w:val="00EE799D"/>
    <w:pPr>
      <w:numPr>
        <w:numId w:val="2"/>
      </w:numPr>
      <w:ind w:left="360"/>
    </w:pPr>
    <w:rPr>
      <w:b/>
      <w:color w:val="000000" w:themeColor="text1"/>
    </w:rPr>
  </w:style>
  <w:style w:type="paragraph" w:customStyle="1" w:styleId="plohaVP-nadpis2">
    <w:name w:val="příloha_VP - nadpis 2"/>
    <w:basedOn w:val="Nadpis2"/>
    <w:next w:val="Normln"/>
    <w:qFormat/>
    <w:rsid w:val="00EE799D"/>
    <w:pPr>
      <w:numPr>
        <w:numId w:val="3"/>
      </w:numPr>
      <w:ind w:left="360"/>
    </w:pPr>
    <w:rPr>
      <w:b/>
      <w:color w:val="000000" w:themeColor="text1"/>
    </w:rPr>
  </w:style>
  <w:style w:type="character" w:customStyle="1" w:styleId="Nadpis1Char">
    <w:name w:val="Nadpis 1 Char"/>
    <w:basedOn w:val="Standardnpsmoodstavce"/>
    <w:link w:val="Nadpis1"/>
    <w:uiPriority w:val="9"/>
    <w:rsid w:val="00EE799D"/>
    <w:rPr>
      <w:rFonts w:asciiTheme="majorHAnsi" w:eastAsiaTheme="majorEastAsia" w:hAnsiTheme="majorHAnsi" w:cstheme="majorBidi"/>
      <w:color w:val="2F5496" w:themeColor="accent1" w:themeShade="BF"/>
      <w:sz w:val="32"/>
      <w:szCs w:val="32"/>
    </w:rPr>
  </w:style>
  <w:style w:type="paragraph" w:styleId="Textkomente">
    <w:name w:val="annotation text"/>
    <w:basedOn w:val="Normln"/>
    <w:link w:val="TextkomenteChar"/>
    <w:uiPriority w:val="99"/>
    <w:unhideWhenUsed/>
    <w:rsid w:val="00DC0355"/>
    <w:pPr>
      <w:spacing w:line="240" w:lineRule="auto"/>
    </w:pPr>
    <w:rPr>
      <w:szCs w:val="20"/>
    </w:rPr>
  </w:style>
  <w:style w:type="character" w:customStyle="1" w:styleId="Nadpis2Char">
    <w:name w:val="Nadpis 2 Char"/>
    <w:basedOn w:val="Standardnpsmoodstavce"/>
    <w:link w:val="Nadpis2"/>
    <w:uiPriority w:val="9"/>
    <w:semiHidden/>
    <w:rsid w:val="00EE799D"/>
    <w:rPr>
      <w:rFonts w:asciiTheme="majorHAnsi" w:eastAsiaTheme="majorEastAsia" w:hAnsiTheme="majorHAnsi" w:cstheme="majorBidi"/>
      <w:color w:val="2F5496" w:themeColor="accent1" w:themeShade="BF"/>
      <w:sz w:val="26"/>
      <w:szCs w:val="26"/>
    </w:rPr>
  </w:style>
  <w:style w:type="character" w:customStyle="1" w:styleId="TextkomenteChar">
    <w:name w:val="Text komentáře Char"/>
    <w:basedOn w:val="Standardnpsmoodstavce"/>
    <w:link w:val="Textkomente"/>
    <w:uiPriority w:val="99"/>
    <w:rsid w:val="00DC0355"/>
    <w:rPr>
      <w:sz w:val="20"/>
      <w:szCs w:val="20"/>
    </w:rPr>
  </w:style>
  <w:style w:type="character" w:styleId="Odkaznakoment">
    <w:name w:val="annotation reference"/>
    <w:basedOn w:val="Standardnpsmoodstavce"/>
    <w:uiPriority w:val="99"/>
    <w:semiHidden/>
    <w:unhideWhenUsed/>
    <w:rsid w:val="00DC0355"/>
    <w:rPr>
      <w:sz w:val="16"/>
      <w:szCs w:val="16"/>
    </w:rPr>
  </w:style>
  <w:style w:type="paragraph" w:customStyle="1" w:styleId="OM-nadpis1">
    <w:name w:val="OM - nadpis 1"/>
    <w:basedOn w:val="Nadpis1"/>
    <w:next w:val="Normln"/>
    <w:qFormat/>
    <w:rsid w:val="00A81E6B"/>
    <w:pPr>
      <w:pageBreakBefore/>
      <w:numPr>
        <w:numId w:val="4"/>
      </w:numPr>
      <w:spacing w:before="360" w:after="360" w:line="240" w:lineRule="auto"/>
    </w:pPr>
    <w:rPr>
      <w:rFonts w:ascii="Verdana" w:hAnsi="Verdana" w:cs="Arial"/>
      <w:b/>
      <w:color w:val="000000" w:themeColor="text1"/>
      <w:sz w:val="24"/>
      <w:szCs w:val="20"/>
    </w:rPr>
  </w:style>
  <w:style w:type="paragraph" w:customStyle="1" w:styleId="OM-nadpis2">
    <w:name w:val="OM - nadpis 2"/>
    <w:basedOn w:val="Nadpis2"/>
    <w:next w:val="Normln"/>
    <w:qFormat/>
    <w:rsid w:val="00A81E6B"/>
    <w:pPr>
      <w:numPr>
        <w:ilvl w:val="1"/>
        <w:numId w:val="4"/>
      </w:numPr>
      <w:spacing w:before="280" w:after="240" w:line="240" w:lineRule="auto"/>
      <w:jc w:val="both"/>
    </w:pPr>
    <w:rPr>
      <w:rFonts w:ascii="Verdana" w:hAnsi="Verdana" w:cs="Arial"/>
      <w:b/>
      <w:color w:val="000000" w:themeColor="text1"/>
      <w:sz w:val="24"/>
      <w:szCs w:val="20"/>
    </w:rPr>
  </w:style>
  <w:style w:type="paragraph" w:customStyle="1" w:styleId="OM-nadpis4">
    <w:name w:val="OM - nadpis 4"/>
    <w:basedOn w:val="Nadpis4"/>
    <w:next w:val="Normln"/>
    <w:qFormat/>
    <w:rsid w:val="00A81E6B"/>
    <w:pPr>
      <w:numPr>
        <w:ilvl w:val="3"/>
        <w:numId w:val="4"/>
      </w:numPr>
      <w:spacing w:before="320" w:after="220" w:line="240" w:lineRule="auto"/>
      <w:ind w:left="357" w:hanging="357"/>
      <w:jc w:val="both"/>
    </w:pPr>
    <w:rPr>
      <w:rFonts w:ascii="Verdana" w:hAnsi="Verdana" w:cs="Arial"/>
      <w:b/>
      <w:i w:val="0"/>
      <w:color w:val="auto"/>
      <w:szCs w:val="20"/>
    </w:rPr>
  </w:style>
  <w:style w:type="paragraph" w:customStyle="1" w:styleId="OM-nadpis3">
    <w:name w:val="OM - nadpis 3"/>
    <w:basedOn w:val="Nadpis3"/>
    <w:next w:val="Normln"/>
    <w:qFormat/>
    <w:rsid w:val="00A81E6B"/>
    <w:pPr>
      <w:numPr>
        <w:ilvl w:val="2"/>
        <w:numId w:val="4"/>
      </w:numPr>
      <w:spacing w:before="360" w:after="120" w:line="240" w:lineRule="auto"/>
      <w:ind w:left="181" w:hanging="181"/>
      <w:jc w:val="both"/>
    </w:pPr>
    <w:rPr>
      <w:rFonts w:ascii="Verdana" w:hAnsi="Verdana" w:cs="Arial"/>
      <w:b/>
      <w:color w:val="auto"/>
      <w:sz w:val="22"/>
      <w:szCs w:val="20"/>
    </w:rPr>
  </w:style>
  <w:style w:type="paragraph" w:customStyle="1" w:styleId="OM-nadpis5">
    <w:name w:val="OM - nadpis 5"/>
    <w:basedOn w:val="Nadpis5"/>
    <w:next w:val="Normln"/>
    <w:qFormat/>
    <w:rsid w:val="00A81E6B"/>
    <w:pPr>
      <w:numPr>
        <w:ilvl w:val="4"/>
        <w:numId w:val="4"/>
      </w:numPr>
      <w:spacing w:before="280" w:after="200" w:line="240" w:lineRule="auto"/>
      <w:jc w:val="both"/>
    </w:pPr>
    <w:rPr>
      <w:rFonts w:ascii="Verdana" w:hAnsi="Verdana"/>
      <w:b/>
      <w:color w:val="auto"/>
    </w:rPr>
  </w:style>
  <w:style w:type="paragraph" w:customStyle="1" w:styleId="OM-nadpis">
    <w:name w:val="OM - nadpis"/>
    <w:basedOn w:val="OM-nadpis5"/>
    <w:qFormat/>
    <w:rsid w:val="00DC0355"/>
    <w:pPr>
      <w:numPr>
        <w:ilvl w:val="5"/>
      </w:numPr>
      <w:ind w:left="1151" w:hanging="1151"/>
    </w:pPr>
    <w:rPr>
      <w:i/>
    </w:rPr>
  </w:style>
  <w:style w:type="character" w:customStyle="1" w:styleId="Nadpis4Char">
    <w:name w:val="Nadpis 4 Char"/>
    <w:basedOn w:val="Standardnpsmoodstavce"/>
    <w:link w:val="Nadpis4"/>
    <w:uiPriority w:val="9"/>
    <w:semiHidden/>
    <w:rsid w:val="00DC0355"/>
    <w:rPr>
      <w:rFonts w:asciiTheme="majorHAnsi" w:eastAsiaTheme="majorEastAsia" w:hAnsiTheme="majorHAnsi" w:cstheme="majorBidi"/>
      <w:i/>
      <w:iCs/>
      <w:color w:val="2F5496" w:themeColor="accent1" w:themeShade="BF"/>
    </w:rPr>
  </w:style>
  <w:style w:type="character" w:customStyle="1" w:styleId="Nadpis3Char">
    <w:name w:val="Nadpis 3 Char"/>
    <w:basedOn w:val="Standardnpsmoodstavce"/>
    <w:link w:val="Nadpis3"/>
    <w:uiPriority w:val="9"/>
    <w:semiHidden/>
    <w:rsid w:val="00DC0355"/>
    <w:rPr>
      <w:rFonts w:asciiTheme="majorHAnsi" w:eastAsiaTheme="majorEastAsia" w:hAnsiTheme="majorHAnsi" w:cstheme="majorBidi"/>
      <w:color w:val="1F3763" w:themeColor="accent1" w:themeShade="7F"/>
      <w:sz w:val="24"/>
      <w:szCs w:val="24"/>
    </w:rPr>
  </w:style>
  <w:style w:type="character" w:customStyle="1" w:styleId="Nadpis5Char">
    <w:name w:val="Nadpis 5 Char"/>
    <w:basedOn w:val="Standardnpsmoodstavce"/>
    <w:link w:val="Nadpis5"/>
    <w:uiPriority w:val="9"/>
    <w:semiHidden/>
    <w:rsid w:val="00DC0355"/>
    <w:rPr>
      <w:rFonts w:asciiTheme="majorHAnsi" w:eastAsiaTheme="majorEastAsia" w:hAnsiTheme="majorHAnsi" w:cstheme="majorBidi"/>
      <w:color w:val="2F5496" w:themeColor="accent1" w:themeShade="BF"/>
    </w:rPr>
  </w:style>
  <w:style w:type="paragraph" w:styleId="Textbubliny">
    <w:name w:val="Balloon Text"/>
    <w:basedOn w:val="Normln"/>
    <w:link w:val="TextbublinyChar"/>
    <w:uiPriority w:val="99"/>
    <w:semiHidden/>
    <w:unhideWhenUsed/>
    <w:rsid w:val="00DC035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0355"/>
    <w:rPr>
      <w:rFonts w:ascii="Segoe UI" w:hAnsi="Segoe UI" w:cs="Segoe UI"/>
      <w:sz w:val="18"/>
      <w:szCs w:val="18"/>
    </w:rPr>
  </w:style>
  <w:style w:type="paragraph" w:styleId="Textpoznpodarou">
    <w:name w:val="footnote text"/>
    <w:basedOn w:val="Normln"/>
    <w:link w:val="TextpoznpodarouChar"/>
    <w:uiPriority w:val="99"/>
    <w:semiHidden/>
    <w:unhideWhenUsed/>
    <w:rsid w:val="00701902"/>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701902"/>
    <w:rPr>
      <w:sz w:val="20"/>
      <w:szCs w:val="20"/>
    </w:rPr>
  </w:style>
  <w:style w:type="character" w:styleId="Znakapoznpodarou">
    <w:name w:val="footnote reference"/>
    <w:aliases w:val="12 b.,Appel note de bas de p,Appel note de bas de page,BVI fnr,Char Car Car Car Car,Footnote Reference Superscript,Footnote symbol,Légende,Légende.Char Car Car Car Car,PGI Fußnote Ziffer,Voetnootverwijzing,Zúžené o ..."/>
    <w:basedOn w:val="Standardnpsmoodstavce"/>
    <w:uiPriority w:val="99"/>
    <w:unhideWhenUsed/>
    <w:rsid w:val="00701902"/>
    <w:rPr>
      <w:vertAlign w:val="superscript"/>
    </w:rPr>
  </w:style>
  <w:style w:type="paragraph" w:styleId="Odstavecseseznamem">
    <w:name w:val="List Paragraph"/>
    <w:basedOn w:val="Normln"/>
    <w:uiPriority w:val="34"/>
    <w:qFormat/>
    <w:rsid w:val="001C018A"/>
    <w:pPr>
      <w:ind w:left="720"/>
      <w:contextualSpacing/>
    </w:pPr>
  </w:style>
  <w:style w:type="character" w:styleId="Hypertextovodkaz">
    <w:name w:val="Hyperlink"/>
    <w:basedOn w:val="Standardnpsmoodstavce"/>
    <w:uiPriority w:val="99"/>
    <w:unhideWhenUsed/>
    <w:rsid w:val="006465D5"/>
    <w:rPr>
      <w:color w:val="0563C1" w:themeColor="hyperlink"/>
      <w:u w:val="single"/>
    </w:rPr>
  </w:style>
  <w:style w:type="character" w:customStyle="1" w:styleId="Nevyeenzmnka1">
    <w:name w:val="Nevyřešená zmínka1"/>
    <w:basedOn w:val="Standardnpsmoodstavce"/>
    <w:uiPriority w:val="99"/>
    <w:semiHidden/>
    <w:unhideWhenUsed/>
    <w:rsid w:val="006465D5"/>
    <w:rPr>
      <w:color w:val="605E5C"/>
      <w:shd w:val="clear" w:color="auto" w:fill="E1DFDD"/>
    </w:rPr>
  </w:style>
  <w:style w:type="paragraph" w:customStyle="1" w:styleId="OM-napdis3">
    <w:name w:val="OM - napdis 3"/>
    <w:basedOn w:val="Nadpis3"/>
    <w:next w:val="Normln"/>
    <w:qFormat/>
    <w:rsid w:val="00A04D65"/>
    <w:pPr>
      <w:spacing w:before="120" w:after="120" w:line="240" w:lineRule="auto"/>
      <w:ind w:left="720" w:hanging="720"/>
      <w:jc w:val="both"/>
    </w:pPr>
    <w:rPr>
      <w:rFonts w:ascii="Arial" w:hAnsi="Arial" w:cs="Arial"/>
      <w:b/>
      <w:color w:val="auto"/>
      <w:szCs w:val="20"/>
    </w:rPr>
  </w:style>
  <w:style w:type="paragraph" w:styleId="Revize">
    <w:name w:val="Revision"/>
    <w:hidden/>
    <w:uiPriority w:val="99"/>
    <w:semiHidden/>
    <w:rsid w:val="006B6815"/>
    <w:pPr>
      <w:spacing w:after="0" w:line="240" w:lineRule="auto"/>
    </w:pPr>
  </w:style>
  <w:style w:type="paragraph" w:styleId="Pedmtkomente">
    <w:name w:val="annotation subject"/>
    <w:basedOn w:val="Textkomente"/>
    <w:next w:val="Textkomente"/>
    <w:link w:val="PedmtkomenteChar"/>
    <w:uiPriority w:val="99"/>
    <w:semiHidden/>
    <w:unhideWhenUsed/>
    <w:rsid w:val="00A92F12"/>
    <w:rPr>
      <w:b/>
      <w:bCs/>
    </w:rPr>
  </w:style>
  <w:style w:type="character" w:customStyle="1" w:styleId="PedmtkomenteChar">
    <w:name w:val="Předmět komentáře Char"/>
    <w:basedOn w:val="TextkomenteChar"/>
    <w:link w:val="Pedmtkomente"/>
    <w:uiPriority w:val="99"/>
    <w:semiHidden/>
    <w:rsid w:val="00A92F12"/>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4D061-42CE-4B14-A7B4-07C049200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4628</Words>
  <Characters>27306</Characters>
  <Application>Microsoft Office Word</Application>
  <DocSecurity>0</DocSecurity>
  <Lines>227</Lines>
  <Paragraphs>63</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
      <vt:lpstr>Veřejná podpora </vt:lpstr>
      <vt:lpstr>    Právní rámec</vt:lpstr>
      <vt:lpstr>    Sekundární předpisy</vt:lpstr>
      <vt:lpstr>        Specifika a náležitosti jednotlivých kategorií veřejné podpory</vt:lpstr>
    </vt:vector>
  </TitlesOfParts>
  <Company/>
  <LinksUpToDate>false</LinksUpToDate>
  <CharactersWithSpaces>31871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Kozel Jiří</dc:creator>
  <cp:lastModifiedBy>Pavel TVRDY</cp:lastModifiedBy>
  <cp:revision>3</cp:revision>
  <dcterms:created xsi:type="dcterms:W3CDTF">2025-06-12T09:20:00Z</dcterms:created>
  <dcterms:modified xsi:type="dcterms:W3CDTF">2025-06-12T09:28:00Z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200.23.2</vt:lpwstr>
  </property>
  <property fmtid="{D5CDD505-2E9C-101B-9397-08002B2CF9AE}" pid="4" name="Cislo_PostaOdesPisemnostDokumentVerze_PostaOdesPisemnost">
    <vt:lpwstr>VÝTISK Č. ...</vt:lpwstr>
  </property>
  <property fmtid="{D5CDD505-2E9C-101B-9397-08002B2CF9AE}" pid="5" name="CJ">
    <vt:lpwstr>MZP/2025/320/833</vt:lpwstr>
  </property>
  <property fmtid="{D5CDD505-2E9C-101B-9397-08002B2CF9AE}" pid="6" name="CJ_PostaDoruc_PisemnostOdpovedNa_Pisemnost">
    <vt:lpwstr>XXX-XXX-XXX</vt:lpwstr>
  </property>
  <property fmtid="{D5CDD505-2E9C-101B-9397-08002B2CF9AE}" pid="7" name="CJ_Spis_Pisemnost">
    <vt:lpwstr>MZP/2025/320/833</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10.6.2025</vt:lpwstr>
  </property>
  <property fmtid="{D5CDD505-2E9C-101B-9397-08002B2CF9AE}" pid="13" name="DisplayName_CisloObalky_PostaOdes">
    <vt:lpwstr>ČÍSLO OBÁLKY</vt:lpwstr>
  </property>
  <property fmtid="{D5CDD505-2E9C-101B-9397-08002B2CF9AE}" pid="14" name="DisplayName_CJCol">
    <vt:lpwstr>&lt;TABLE&gt;&lt;TR&gt;&lt;TD&gt;Č.j.:&lt;/TD&gt;&lt;TD&gt;MZP/2025/320/833&lt;/TD&gt;&lt;/TR&gt;&lt;TR&gt;&lt;TD&gt;&lt;/TD&gt;&lt;TD&gt;&lt;/TD&gt;&lt;/TR&gt;&lt;/TABLE&gt;</vt:lpwstr>
  </property>
  <property fmtid="{D5CDD505-2E9C-101B-9397-08002B2CF9AE}" pid="15" name="DisplayName_PoziceMa_Pisemnost">
    <vt:lpwstr>Ing. Jiří Kozel</vt:lpwstr>
  </property>
  <property fmtid="{D5CDD505-2E9C-101B-9397-08002B2CF9AE}" pid="16" name="DisplayName_SlozkaStupenUtajeniCollection_Slozka_Pisemnost">
    <vt:lpwstr/>
  </property>
  <property fmtid="{D5CDD505-2E9C-101B-9397-08002B2CF9AE}" pid="17" name="DisplayName_SpisovyUzel_PoziceZodpo_Pisemnost">
    <vt:lpwstr>Odbor finančních a dobrovolných nástrojů</vt:lpwstr>
  </property>
  <property fmtid="{D5CDD505-2E9C-101B-9397-08002B2CF9AE}" pid="18" name="DisplayName_Spis_Pisemnost">
    <vt:lpwstr>Dodatek č. 1 směrnice MŽP č. 6/2024, o poskytování finančních prostředků ze Státního fondu životního prostředí České republiky prostřednictvím Národního programu Životní prostředí</vt:lpwstr>
  </property>
  <property fmtid="{D5CDD505-2E9C-101B-9397-08002B2CF9AE}" pid="19" name="DisplayName_UserPoriz_Pisemnost">
    <vt:lpwstr>Ing. Jiří Kozel</vt:lpwstr>
  </property>
  <property fmtid="{D5CDD505-2E9C-101B-9397-08002B2CF9AE}" pid="20" name="DuvodZmeny_SlozkaStupenUtajeniCollection_Slozka_Pisemnost">
    <vt:lpwstr/>
  </property>
  <property fmtid="{D5CDD505-2E9C-101B-9397-08002B2CF9AE}" pid="21" name="EC_Pisemnost">
    <vt:lpwstr>ENV/2025/240896</vt:lpwstr>
  </property>
  <property fmtid="{D5CDD505-2E9C-101B-9397-08002B2CF9AE}" pid="22" name="Key_BarCode_Pisemnost">
    <vt:lpwstr>*B003009498*</vt:lpwstr>
  </property>
  <property fmtid="{D5CDD505-2E9C-101B-9397-08002B2CF9AE}" pid="23" name="Key_BarCode_PostaOdes">
    <vt:lpwstr>11101001011</vt:lpwstr>
  </property>
  <property fmtid="{D5CDD505-2E9C-101B-9397-08002B2CF9AE}" pid="24" name="KRukam">
    <vt:lpwstr>{KRukam}</vt:lpwstr>
  </property>
  <property fmtid="{D5CDD505-2E9C-101B-9397-08002B2CF9AE}" pid="25" name="NameAddress_Contact_SpisovyUzel_PoziceZodpo_Pisemnost">
    <vt:lpwstr>ADRESÁT SU...</vt:lpwstr>
  </property>
  <property fmtid="{D5CDD505-2E9C-101B-9397-08002B2CF9AE}" pid="26" name="NamePostalAddress_Contact_PostaOdes">
    <vt:lpwstr>{NameAddress_Contact_PostaOdes}
{PostalAddress_Contact_PostaOdes}</vt:lpwstr>
  </property>
  <property fmtid="{D5CDD505-2E9C-101B-9397-08002B2CF9AE}" pid="27" name="Odkaz">
    <vt:lpwstr>ODKAZ</vt:lpwstr>
  </property>
  <property fmtid="{D5CDD505-2E9C-101B-9397-08002B2CF9AE}" pid="28" name="Password_PisemnostTypZpristupneniInformaciZOSZ_Pisemnost">
    <vt:lpwstr>ZOSZ_Password</vt:lpwstr>
  </property>
  <property fmtid="{D5CDD505-2E9C-101B-9397-08002B2CF9AE}" pid="29" name="PocetListuDokumentu_Pisemnost">
    <vt:lpwstr>3</vt:lpwstr>
  </property>
  <property fmtid="{D5CDD505-2E9C-101B-9397-08002B2CF9AE}" pid="30" name="PocetListu_Pisemnost">
    <vt:lpwstr>3</vt:lpwstr>
  </property>
  <property fmtid="{D5CDD505-2E9C-101B-9397-08002B2CF9AE}" pid="31" name="PocetPriloh_Pisemnost">
    <vt:lpwstr>0</vt:lpwstr>
  </property>
  <property fmtid="{D5CDD505-2E9C-101B-9397-08002B2CF9AE}" pid="32" name="Podpis">
    <vt:lpwstr/>
  </property>
  <property fmtid="{D5CDD505-2E9C-101B-9397-08002B2CF9AE}" pid="33" name="PoleVlastnost">
    <vt:lpwstr/>
  </property>
  <property fmtid="{D5CDD505-2E9C-101B-9397-08002B2CF9AE}" pid="34" name="PostalAddress_Contact_SpisovyUzel_PoziceZodpo_Pisemnost">
    <vt:lpwstr>ADRESA SU...</vt:lpwstr>
  </property>
  <property fmtid="{D5CDD505-2E9C-101B-9397-08002B2CF9AE}" pid="35" name="QREC_Pisemnost">
    <vt:lpwstr>ENV/2025/240896</vt:lpwstr>
  </property>
  <property fmtid="{D5CDD505-2E9C-101B-9397-08002B2CF9AE}" pid="36" name="RC">
    <vt:lpwstr/>
  </property>
  <property fmtid="{D5CDD505-2E9C-101B-9397-08002B2CF9AE}" pid="37" name="SkartacniZnakLhuta_PisemnostZnak">
    <vt:lpwstr>S/10</vt:lpwstr>
  </property>
  <property fmtid="{D5CDD505-2E9C-101B-9397-08002B2CF9AE}" pid="38" name="SmlouvaCislo">
    <vt:lpwstr>ČÍSLO SMLOUVY</vt:lpwstr>
  </property>
  <property fmtid="{D5CDD505-2E9C-101B-9397-08002B2CF9AE}" pid="39" name="SZ_Spis_Pisemnost">
    <vt:lpwstr>ZN/MZP/2025/320/129</vt:lpwstr>
  </property>
  <property fmtid="{D5CDD505-2E9C-101B-9397-08002B2CF9AE}" pid="40" name="TEST">
    <vt:lpwstr>testovací pole</vt:lpwstr>
  </property>
  <property fmtid="{D5CDD505-2E9C-101B-9397-08002B2CF9AE}" pid="41" name="TypPrilohy_Pisemnost">
    <vt:lpwstr>TYP PŘÍLOHY</vt:lpwstr>
  </property>
  <property fmtid="{D5CDD505-2E9C-101B-9397-08002B2CF9AE}" pid="42" name="UserName_PisemnostTypZpristupneniInformaciZOSZ_Pisemnost">
    <vt:lpwstr>ZOSZ_UserName</vt:lpwstr>
  </property>
  <property fmtid="{D5CDD505-2E9C-101B-9397-08002B2CF9AE}" pid="43" name="Vec_Pisemnost">
    <vt:lpwstr>Žádost o vydání dodatku č. 1 směrnice MŽP č. 6/2024, o poskytování finančních prostředků ze Státního fondu životního prostředí České republiky prostřednictvím Národního programu Životní prostředí</vt:lpwstr>
  </property>
  <property fmtid="{D5CDD505-2E9C-101B-9397-08002B2CF9AE}" pid="44" name="Zkratka_SpisovyUzel_PoziceZodpo_Pisemnost">
    <vt:lpwstr>320</vt:lpwstr>
  </property>
</Properties>
</file>